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30,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ATLANTIC TELE-NETWORK,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44" w:right="35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(State or other</w:t>
      </w:r>
    </w:p>
    <w:p>
      <w:pPr>
        <w:spacing w:after="0" w:line="9" w:lineRule="exact"/>
        <w:rPr>
          <w:sz w:val="24"/>
          <w:szCs w:val="24"/>
          <w:color w:val="auto"/>
        </w:rPr>
      </w:pPr>
    </w:p>
    <w:p>
      <w:pPr>
        <w:ind w:left="800"/>
        <w:spacing w:after="0"/>
        <w:rPr>
          <w:sz w:val="20"/>
          <w:szCs w:val="20"/>
          <w:color w:val="auto"/>
        </w:rPr>
      </w:pPr>
      <w:r>
        <w:rPr>
          <w:rFonts w:ascii="Arial" w:cs="Arial" w:eastAsia="Arial" w:hAnsi="Arial"/>
          <w:sz w:val="17"/>
          <w:szCs w:val="17"/>
          <w:color w:val="auto"/>
        </w:rPr>
        <w:t>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001-12593</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47-0728886</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020" w:space="720"/>
            <w:col w:w="3460" w:space="720"/>
            <w:col w:w="2380"/>
          </w:cols>
          <w:pgMar w:left="240" w:top="544" w:right="359" w:bottom="0" w:gutter="0" w:footer="0" w:header="0"/>
          <w:type w:val="continuous"/>
        </w:sectPr>
      </w:pP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600 Cummings Center</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Beverly, Massachusetts 01915</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(Address of principal executive offices and zip code)</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(978) 619-1300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00"/>
          </w:cols>
          <w:pgMar w:left="240" w:top="544" w:right="35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80"/>
        <w:spacing w:after="0"/>
        <w:tabs>
          <w:tab w:leader="none" w:pos="14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right="60" w:firstLine="648"/>
        <w:spacing w:after="0" w:line="259" w:lineRule="auto"/>
        <w:rPr>
          <w:sz w:val="20"/>
          <w:szCs w:val="20"/>
          <w:color w:val="auto"/>
        </w:rPr>
      </w:pPr>
      <w:r>
        <w:rPr>
          <w:rFonts w:ascii="Arial" w:cs="Arial" w:eastAsia="Arial" w:hAnsi="Arial"/>
          <w:sz w:val="18"/>
          <w:szCs w:val="18"/>
          <w:color w:val="auto"/>
        </w:rPr>
        <w:t>On June 30, 2011, Atlantic Tele-Network, Inc. (the “Company”) entered into an amendment and confirmation agreement (the “Amendment”) to its Second Amended and Restated Credit Agreement dated as of September 30, 2010, by and among the Company, as Borrower, certain of the Company’s subsidiaries, as Guarantors, CoBank, ACB, as Administrative Agent, Arranger, Issuer Lender and Lender, and the other Lenders named therein (the “Credit Agreement”).</w:t>
      </w:r>
    </w:p>
    <w:p>
      <w:pPr>
        <w:spacing w:after="0" w:line="187" w:lineRule="exact"/>
        <w:rPr>
          <w:sz w:val="24"/>
          <w:szCs w:val="24"/>
          <w:color w:val="auto"/>
        </w:rPr>
      </w:pPr>
    </w:p>
    <w:p>
      <w:pPr>
        <w:ind w:right="80" w:firstLine="648"/>
        <w:spacing w:after="0" w:line="259" w:lineRule="auto"/>
        <w:rPr>
          <w:sz w:val="20"/>
          <w:szCs w:val="20"/>
          <w:color w:val="auto"/>
        </w:rPr>
      </w:pPr>
      <w:r>
        <w:rPr>
          <w:rFonts w:ascii="Arial" w:cs="Arial" w:eastAsia="Arial" w:hAnsi="Arial"/>
          <w:sz w:val="18"/>
          <w:szCs w:val="18"/>
          <w:color w:val="auto"/>
        </w:rPr>
        <w:t>The Amendment adjusted certain financial covenants in the Credit Agreement, increasing the Company’s maximum ratio of Indebtedness to EBITDA (each as defined in the Credit Agreement) from 2.5:1 to 3:1 and amending the definition of Fixed Charges (as defined in the Credit Agreement) to include up to $40,000,000 in the aggregate of acquisition integration and upgrade expenses incurred by the Company in connection with its previously announced acquisition of former Alltel assets.</w:t>
      </w:r>
    </w:p>
    <w:p>
      <w:pPr>
        <w:spacing w:after="0" w:line="187" w:lineRule="exact"/>
        <w:rPr>
          <w:sz w:val="24"/>
          <w:szCs w:val="24"/>
          <w:color w:val="auto"/>
        </w:rPr>
      </w:pPr>
    </w:p>
    <w:p>
      <w:pPr>
        <w:ind w:right="100" w:firstLine="648"/>
        <w:spacing w:after="0" w:line="277" w:lineRule="auto"/>
        <w:rPr>
          <w:sz w:val="20"/>
          <w:szCs w:val="20"/>
          <w:color w:val="auto"/>
        </w:rPr>
      </w:pPr>
      <w:r>
        <w:rPr>
          <w:rFonts w:ascii="Arial" w:cs="Arial" w:eastAsia="Arial" w:hAnsi="Arial"/>
          <w:sz w:val="18"/>
          <w:szCs w:val="18"/>
          <w:color w:val="auto"/>
        </w:rPr>
        <w:t>The foregoing description is only a summary of the provisions of the Amendment and is qualified in its entirety by the terms of the Amendment, a copy of which is filed herewith as Exhibit 10.1 and incorporated herein by reference.</w:t>
      </w:r>
    </w:p>
    <w:p>
      <w:pPr>
        <w:spacing w:after="0" w:line="166" w:lineRule="exact"/>
        <w:rPr>
          <w:sz w:val="24"/>
          <w:szCs w:val="24"/>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1400" w:hanging="744"/>
        <w:spacing w:after="0"/>
        <w:tabs>
          <w:tab w:leader="none" w:pos="14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4"/>
          <w:szCs w:val="24"/>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Amendment and Confirmation Agreement dated as of June 30, 2011 by and among Atlantic Tele-Network, Inc., as Borrower, CoBank,</w:t>
      </w:r>
    </w:p>
    <w:p>
      <w:pPr>
        <w:sectPr>
          <w:pgSz w:w="11900" w:h="16838" w:orient="portrait"/>
          <w:cols w:equalWidth="0" w:num="1">
            <w:col w:w="11300"/>
          </w:cols>
          <w:pgMar w:left="240" w:top="544" w:right="359" w:bottom="0" w:gutter="0" w:footer="0" w:header="0"/>
          <w:type w:val="continuous"/>
        </w:sectPr>
      </w:pPr>
    </w:p>
    <w:bookmarkStart w:id="1" w:name="page2"/>
    <w:bookmarkEnd w:id="1"/>
    <w:p>
      <w:pPr>
        <w:ind w:left="1400" w:right="560"/>
        <w:spacing w:after="0" w:line="277" w:lineRule="auto"/>
        <w:rPr>
          <w:sz w:val="20"/>
          <w:szCs w:val="20"/>
          <w:color w:val="auto"/>
        </w:rPr>
      </w:pPr>
      <w:r>
        <w:rPr>
          <w:rFonts w:ascii="Arial" w:cs="Arial" w:eastAsia="Arial" w:hAnsi="Arial"/>
          <w:sz w:val="18"/>
          <w:szCs w:val="18"/>
          <w:color w:val="auto"/>
        </w:rPr>
        <w:t>ACB, as Administrative Agent, Arranger, Issuing Lender and a Lender, the Guarantors named therein, and the other Lenders named therein.</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ATLANTIC TELE-NETWORK, INC.</w:t>
      </w:r>
    </w:p>
    <w:p>
      <w:pPr>
        <w:spacing w:after="0" w:line="229"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tab/>
        <w:t>/s/ Justin D. Benincasa</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Justin D. Benincasa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July 7, 2011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180" w:type="dxa"/>
            <w:vAlign w:val="bottom"/>
          </w:tcPr>
          <w:p>
            <w:pPr>
              <w:ind w:left="378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24"/>
                <w:szCs w:val="24"/>
                <w:color w:val="auto"/>
              </w:rPr>
            </w:pPr>
          </w:p>
        </w:tc>
        <w:tc>
          <w:tcPr>
            <w:tcW w:w="10180" w:type="dxa"/>
            <w:vAlign w:val="bottom"/>
            <w:vMerge w:val="restart"/>
          </w:tcPr>
          <w:p>
            <w:pPr>
              <w:ind w:left="4400"/>
              <w:spacing w:after="0"/>
              <w:rPr>
                <w:sz w:val="20"/>
                <w:szCs w:val="20"/>
                <w:color w:val="auto"/>
              </w:rPr>
            </w:pPr>
            <w:r>
              <w:rPr>
                <w:rFonts w:ascii="Arial" w:cs="Arial" w:eastAsia="Arial" w:hAnsi="Arial"/>
                <w:sz w:val="14"/>
                <w:szCs w:val="14"/>
                <w:b w:val="1"/>
                <w:bCs w:val="1"/>
                <w:color w:val="auto"/>
              </w:rPr>
              <w:t>Description of Exhibit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18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w w:val="91"/>
              </w:rPr>
              <w:t>Amendment and Confirmation Agreement dated as of June 30, 2011 by and among Atlantic Tele-Network, Inc., as Borrower, CoBank, ACB,</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340" w:type="dxa"/>
            <w:vAlign w:val="bottom"/>
            <w:gridSpan w:val="2"/>
          </w:tcPr>
          <w:p>
            <w:pPr>
              <w:ind w:left="160"/>
              <w:spacing w:after="0"/>
              <w:rPr>
                <w:sz w:val="20"/>
                <w:szCs w:val="20"/>
                <w:color w:val="auto"/>
              </w:rPr>
            </w:pPr>
            <w:r>
              <w:rPr>
                <w:rFonts w:ascii="Arial" w:cs="Arial" w:eastAsia="Arial" w:hAnsi="Arial"/>
                <w:sz w:val="18"/>
                <w:szCs w:val="18"/>
                <w:color w:val="auto"/>
                <w:w w:val="94"/>
              </w:rPr>
              <w:t>as Administrative Agent, Arranger, Issuing Lender and a Lender, the Guarantors named therein, and the other Lenders named therein.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340" w:type="dxa"/>
            <w:vAlign w:val="bottom"/>
            <w:gridSpan w:val="2"/>
          </w:tcPr>
          <w:p>
            <w:pPr>
              <w:ind w:left="458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AND CONFIRMATION AGREEMENT</w:t>
      </w:r>
    </w:p>
    <w:p>
      <w:pPr>
        <w:spacing w:after="0" w:line="225"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AMENDMENT AND CONFIRMATION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and entered into as of June 30, 2011, by and among </w:t>
      </w:r>
      <w:r>
        <w:rPr>
          <w:rFonts w:ascii="Arial" w:cs="Arial" w:eastAsia="Arial" w:hAnsi="Arial"/>
          <w:sz w:val="18"/>
          <w:szCs w:val="18"/>
          <w:b w:val="1"/>
          <w:bCs w:val="1"/>
          <w:color w:val="auto"/>
        </w:rPr>
        <w:t>ATLANTIC TELE-NETWORK,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each of the subsidiaries of Borrower identified as guarantors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signature pages hereto (individually, a “</w:t>
      </w:r>
      <w:r>
        <w:rPr>
          <w:rFonts w:ascii="Arial" w:cs="Arial" w:eastAsia="Arial" w:hAnsi="Arial"/>
          <w:sz w:val="18"/>
          <w:szCs w:val="18"/>
          <w:b w:val="1"/>
          <w:bCs w:val="1"/>
          <w:color w:val="auto"/>
        </w:rPr>
        <w:t>Guarantor</w:t>
      </w:r>
      <w:r>
        <w:rPr>
          <w:rFonts w:ascii="Arial" w:cs="Arial" w:eastAsia="Arial" w:hAnsi="Arial"/>
          <w:sz w:val="18"/>
          <w:szCs w:val="18"/>
          <w:color w:val="auto"/>
        </w:rPr>
        <w:t>” and, collectively, the “</w:t>
      </w:r>
      <w:r>
        <w:rPr>
          <w:rFonts w:ascii="Arial" w:cs="Arial" w:eastAsia="Arial" w:hAnsi="Arial"/>
          <w:sz w:val="18"/>
          <w:szCs w:val="18"/>
          <w:b w:val="1"/>
          <w:bCs w:val="1"/>
          <w:color w:val="auto"/>
        </w:rPr>
        <w:t>Guarantors</w:t>
      </w:r>
      <w:r>
        <w:rPr>
          <w:rFonts w:ascii="Arial" w:cs="Arial" w:eastAsia="Arial" w:hAnsi="Arial"/>
          <w:sz w:val="18"/>
          <w:szCs w:val="18"/>
          <w:color w:val="auto"/>
        </w:rPr>
        <w:t>”; and together with Borrower, individually a “</w:t>
      </w:r>
      <w:r>
        <w:rPr>
          <w:rFonts w:ascii="Arial" w:cs="Arial" w:eastAsia="Arial" w:hAnsi="Arial"/>
          <w:sz w:val="18"/>
          <w:szCs w:val="18"/>
          <w:b w:val="1"/>
          <w:bCs w:val="1"/>
          <w:color w:val="auto"/>
        </w:rPr>
        <w:t>Loan Party</w:t>
      </w:r>
      <w:r>
        <w:rPr>
          <w:rFonts w:ascii="Arial" w:cs="Arial" w:eastAsia="Arial" w:hAnsi="Arial"/>
          <w:sz w:val="18"/>
          <w:szCs w:val="18"/>
          <w:color w:val="auto"/>
        </w:rPr>
        <w:t>” and, collectively, the “</w:t>
      </w:r>
      <w:r>
        <w:rPr>
          <w:rFonts w:ascii="Arial" w:cs="Arial" w:eastAsia="Arial" w:hAnsi="Arial"/>
          <w:sz w:val="18"/>
          <w:szCs w:val="18"/>
          <w:b w:val="1"/>
          <w:bCs w:val="1"/>
          <w:color w:val="auto"/>
        </w:rPr>
        <w:t>Loan Parties</w:t>
      </w:r>
      <w:r>
        <w:rPr>
          <w:rFonts w:ascii="Arial" w:cs="Arial" w:eastAsia="Arial" w:hAnsi="Arial"/>
          <w:sz w:val="18"/>
          <w:szCs w:val="18"/>
          <w:color w:val="auto"/>
        </w:rPr>
        <w:t xml:space="preserve">”), </w:t>
      </w:r>
      <w:r>
        <w:rPr>
          <w:rFonts w:ascii="Arial" w:cs="Arial" w:eastAsia="Arial" w:hAnsi="Arial"/>
          <w:sz w:val="18"/>
          <w:szCs w:val="18"/>
          <w:b w:val="1"/>
          <w:bCs w:val="1"/>
          <w:color w:val="auto"/>
        </w:rPr>
        <w:t>COBANK, ACB</w:t>
      </w:r>
      <w:r>
        <w:rPr>
          <w:rFonts w:ascii="Arial" w:cs="Arial" w:eastAsia="Arial" w:hAnsi="Arial"/>
          <w:sz w:val="18"/>
          <w:szCs w:val="18"/>
          <w:color w:val="auto"/>
        </w:rPr>
        <w:t>, as Administrative Agent (“</w:t>
      </w:r>
      <w:r>
        <w:rPr>
          <w:rFonts w:ascii="Arial" w:cs="Arial" w:eastAsia="Arial" w:hAnsi="Arial"/>
          <w:sz w:val="18"/>
          <w:szCs w:val="18"/>
          <w:b w:val="1"/>
          <w:bCs w:val="1"/>
          <w:color w:val="auto"/>
        </w:rPr>
        <w:t>Administrative Agent</w:t>
      </w:r>
      <w:r>
        <w:rPr>
          <w:rFonts w:ascii="Arial" w:cs="Arial" w:eastAsia="Arial" w:hAnsi="Arial"/>
          <w:sz w:val="18"/>
          <w:szCs w:val="18"/>
          <w:color w:val="auto"/>
        </w:rPr>
        <w:t>”), and each of the financial institutions executing this Agreement and identified as a Lender on the signature pages hereto (the “</w:t>
      </w:r>
      <w:r>
        <w:rPr>
          <w:rFonts w:ascii="Arial" w:cs="Arial" w:eastAsia="Arial" w:hAnsi="Arial"/>
          <w:sz w:val="18"/>
          <w:szCs w:val="18"/>
          <w:b w:val="1"/>
          <w:bCs w:val="1"/>
          <w:color w:val="auto"/>
        </w:rPr>
        <w:t>Lenders</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80" w:firstLine="648"/>
        <w:spacing w:after="0" w:line="313"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Borrower, the Guarantors and the Lenders have entered into that certain Second Amended and Restated Credit Agreement, dated as of</w:t>
      </w:r>
      <w:r>
        <w:rPr>
          <w:rFonts w:ascii="Arial" w:cs="Arial" w:eastAsia="Arial" w:hAnsi="Arial"/>
          <w:sz w:val="17"/>
          <w:szCs w:val="17"/>
          <w:b w:val="1"/>
          <w:bCs w:val="1"/>
          <w:color w:val="auto"/>
        </w:rPr>
        <w:t xml:space="preserve"> </w:t>
      </w:r>
      <w:r>
        <w:rPr>
          <w:rFonts w:ascii="Arial" w:cs="Arial" w:eastAsia="Arial" w:hAnsi="Arial"/>
          <w:sz w:val="17"/>
          <w:szCs w:val="17"/>
          <w:color w:val="auto"/>
        </w:rPr>
        <w:t>September 30, 2010 (as further amended, modified, supplemented, extended or restated from time to time, the “</w:t>
      </w:r>
      <w:r>
        <w:rPr>
          <w:rFonts w:ascii="Arial" w:cs="Arial" w:eastAsia="Arial" w:hAnsi="Arial"/>
          <w:sz w:val="17"/>
          <w:szCs w:val="17"/>
          <w:b w:val="1"/>
          <w:bCs w:val="1"/>
          <w:color w:val="auto"/>
        </w:rPr>
        <w:t>Credit Agreement</w:t>
      </w:r>
      <w:r>
        <w:rPr>
          <w:rFonts w:ascii="Arial" w:cs="Arial" w:eastAsia="Arial" w:hAnsi="Arial"/>
          <w:sz w:val="17"/>
          <w:szCs w:val="17"/>
          <w:color w:val="auto"/>
        </w:rPr>
        <w:t>”); and</w:t>
      </w:r>
    </w:p>
    <w:p>
      <w:pPr>
        <w:spacing w:after="0" w:line="138"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Borrower has requested and the Lenders have agreed, subject to the terms and conditions provided herein, to certain amendments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Loan Documents as more fully described herein.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foregoing and the agreements set forth in this Agreement, each of Borrower, the Guarantors and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Lenders hereby agrees as follows: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SECTION 1. </w:t>
      </w:r>
      <w:r>
        <w:rPr>
          <w:rFonts w:ascii="Arial" w:cs="Arial" w:eastAsia="Arial" w:hAnsi="Arial"/>
          <w:sz w:val="16"/>
          <w:szCs w:val="16"/>
          <w:color w:val="auto"/>
        </w:rPr>
        <w:t>Capitalized terms used herein and not otherwise defined herein shall have the meanings ascribed to them in the Credit Agreement.</w:t>
      </w:r>
    </w:p>
    <w:p>
      <w:pPr>
        <w:spacing w:after="0" w:line="248"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SECTION 2. Amendments to Credit Agreement</w:t>
      </w:r>
      <w:r>
        <w:rPr>
          <w:rFonts w:ascii="Arial" w:cs="Arial" w:eastAsia="Arial" w:hAnsi="Arial"/>
          <w:sz w:val="18"/>
          <w:szCs w:val="18"/>
          <w:color w:val="auto"/>
        </w:rPr>
        <w:t>. In reliance on the representations and warranties of Borrower and the Guarantors contained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in connection with the request of Borrower for the amendments provided herein and subject to the effectiveness of this Agreement as described below, the Credit Agreement is hereby amended as set forth below.</w:t>
      </w:r>
    </w:p>
    <w:p>
      <w:pPr>
        <w:spacing w:after="0" w:line="176" w:lineRule="exact"/>
        <w:rPr>
          <w:sz w:val="20"/>
          <w:szCs w:val="20"/>
          <w:color w:val="auto"/>
        </w:rPr>
      </w:pPr>
    </w:p>
    <w:p>
      <w:pPr>
        <w:ind w:left="1440" w:hanging="784"/>
        <w:spacing w:after="0"/>
        <w:tabs>
          <w:tab w:leader="none" w:pos="144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Subsection 4.1</w:t>
      </w:r>
      <w:r>
        <w:rPr>
          <w:rFonts w:ascii="Arial" w:cs="Arial" w:eastAsia="Arial" w:hAnsi="Arial"/>
          <w:sz w:val="17"/>
          <w:szCs w:val="17"/>
          <w:color w:val="auto"/>
        </w:rPr>
        <w:t>. Subsection 4.1 of the Credit Agreement is hereby amended by amending and restating it in its entirety, as follows:</w:t>
      </w:r>
    </w:p>
    <w:p>
      <w:pPr>
        <w:spacing w:after="0" w:line="241" w:lineRule="exact"/>
        <w:rPr>
          <w:sz w:val="20"/>
          <w:szCs w:val="20"/>
          <w:color w:val="auto"/>
        </w:rPr>
      </w:pPr>
    </w:p>
    <w:p>
      <w:pPr>
        <w:ind w:left="660" w:firstLine="648"/>
        <w:spacing w:after="0" w:line="31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Total Leverage Ratio</w:t>
      </w:r>
      <w:r>
        <w:rPr>
          <w:rFonts w:ascii="Arial" w:cs="Arial" w:eastAsia="Arial" w:hAnsi="Arial"/>
          <w:sz w:val="16"/>
          <w:szCs w:val="16"/>
          <w:color w:val="auto"/>
        </w:rPr>
        <w:t>. Commencing on the June 30, 2011, Borrower shall maintain at all times, measured at each fiscal quarter end, a Total Leverage Ratio of less than or equal to 3.0:1.0; provided, however, Borrower will have 30 days after the applicable reporting date to cure any default under this Subsection 4.1 by reducing the Indebtedness of Borrower on a consolidated basis solely through an equity issuance.</w:t>
      </w:r>
    </w:p>
    <w:p>
      <w:pPr>
        <w:spacing w:after="0" w:line="143" w:lineRule="exact"/>
        <w:rPr>
          <w:sz w:val="20"/>
          <w:szCs w:val="20"/>
          <w:color w:val="auto"/>
        </w:rPr>
      </w:pPr>
    </w:p>
    <w:p>
      <w:pPr>
        <w:ind w:right="600" w:firstLine="656"/>
        <w:spacing w:after="0" w:line="282" w:lineRule="auto"/>
        <w:tabs>
          <w:tab w:leader="none" w:pos="142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Subsection 10.1</w:t>
      </w:r>
      <w:r>
        <w:rPr>
          <w:rFonts w:ascii="Arial" w:cs="Arial" w:eastAsia="Arial" w:hAnsi="Arial"/>
          <w:sz w:val="18"/>
          <w:szCs w:val="18"/>
          <w:color w:val="auto"/>
        </w:rPr>
        <w:t>. Subsection 10.1 of the Credit Agreement is hereby amended by amending and restating the definition of “</w:t>
      </w:r>
      <w:r>
        <w:rPr>
          <w:rFonts w:ascii="Arial" w:cs="Arial" w:eastAsia="Arial" w:hAnsi="Arial"/>
          <w:sz w:val="18"/>
          <w:szCs w:val="18"/>
          <w:b w:val="1"/>
          <w:bCs w:val="1"/>
          <w:color w:val="auto"/>
        </w:rPr>
        <w:t>Fixed Charges</w:t>
      </w:r>
      <w:r>
        <w:rPr>
          <w:rFonts w:ascii="Arial" w:cs="Arial" w:eastAsia="Arial" w:hAnsi="Arial"/>
          <w:sz w:val="18"/>
          <w:szCs w:val="18"/>
          <w:color w:val="auto"/>
        </w:rPr>
        <w:t>” in its entirety,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right="36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Fixed Charges</w:t>
      </w:r>
      <w:r>
        <w:rPr>
          <w:rFonts w:ascii="Arial" w:cs="Arial" w:eastAsia="Arial" w:hAnsi="Arial"/>
          <w:sz w:val="16"/>
          <w:szCs w:val="16"/>
          <w:color w:val="auto"/>
        </w:rPr>
        <w:t>” means the sum of (A) cash interest expense, (B) scheduled principal payments to be made on Indebtedness, (C) capital expenditures (excluding (i) capital expenditures acquired pursuant to any Capital Lease, (ii) capital expenditures funded through any cash equity investment made in Borrower, (iii) Permitted Acquisitions and Investments that are classified as capital expenditures, (iv) capital expenditures constituting any reinvestment of the Net Proceeds of any Asset Disposition to the extent such reinvestment is permitted under Subsections</w:t>
      </w:r>
    </w:p>
    <w:p>
      <w:pPr>
        <w:spacing w:after="0" w:line="3" w:lineRule="exact"/>
        <w:rPr>
          <w:sz w:val="20"/>
          <w:szCs w:val="20"/>
          <w:color w:val="auto"/>
        </w:rPr>
      </w:pPr>
    </w:p>
    <w:p>
      <w:pPr>
        <w:ind w:left="660" w:right="20"/>
        <w:spacing w:after="0" w:line="252" w:lineRule="auto"/>
        <w:rPr>
          <w:sz w:val="20"/>
          <w:szCs w:val="20"/>
          <w:color w:val="auto"/>
        </w:rPr>
      </w:pPr>
      <w:r>
        <w:rPr>
          <w:rFonts w:ascii="Arial" w:cs="Arial" w:eastAsia="Arial" w:hAnsi="Arial"/>
          <w:sz w:val="18"/>
          <w:szCs w:val="18"/>
          <w:color w:val="auto"/>
        </w:rPr>
        <w:t>1.7(B) and (C), (v) capital expenditures constituting the purchase price of equipment that is purchased substantially contemporaneously with the trade in of existing equipment to the extent that the gross amount of such purchase price is reduced by a credit granted by the seller of such equipment for the equipment being traded in at or about such time, and (vi) up to $40,000,000 in the aggregate of acquisition integration and upgrade capital expenditures made at AWCC or any of its wholly-owned Subsidiaries in connection with the Verizon Acquisition on or after April 26, 2010 through and including March 31, 2012), (D) cash income taxes, and (E) any cash dividends and distributions, in each case, measured for the then most recently completed four fiscal quarters.</w:t>
      </w:r>
    </w:p>
    <w:p>
      <w:pPr>
        <w:spacing w:after="0" w:line="190"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b w:val="1"/>
          <w:bCs w:val="1"/>
          <w:color w:val="auto"/>
        </w:rPr>
        <w:t>SECTION 3. Amendments to April Amendment</w:t>
      </w:r>
      <w:r>
        <w:rPr>
          <w:rFonts w:ascii="Arial" w:cs="Arial" w:eastAsia="Arial" w:hAnsi="Arial"/>
          <w:sz w:val="18"/>
          <w:szCs w:val="18"/>
          <w:color w:val="auto"/>
        </w:rPr>
        <w:t>. In reliance on the representations and warranties of Borrower and the Guarantors contained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in that certain Amendment, Consent and Confirmation Agreement (the “</w:t>
      </w:r>
      <w:r>
        <w:rPr>
          <w:rFonts w:ascii="Arial" w:cs="Arial" w:eastAsia="Arial" w:hAnsi="Arial"/>
          <w:sz w:val="18"/>
          <w:szCs w:val="18"/>
          <w:b w:val="1"/>
          <w:bCs w:val="1"/>
          <w:color w:val="auto"/>
        </w:rPr>
        <w:t>April Amendment</w:t>
      </w:r>
      <w:r>
        <w:rPr>
          <w:rFonts w:ascii="Arial" w:cs="Arial" w:eastAsia="Arial" w:hAnsi="Arial"/>
          <w:sz w:val="18"/>
          <w:szCs w:val="18"/>
          <w:color w:val="auto"/>
        </w:rPr>
        <w:t>”), dated as of April 1, 2011, by and among Borrower, the Guarantors party thereto, Administrative Agent and the Lenders party thereto) and in connection with the request of Borrower for the amendments provided herein and in the April Amendment and subject to the effectiveness of this Agreement as described below, the April Amendment is hereby amended as set forth below:</w:t>
      </w:r>
    </w:p>
    <w:p>
      <w:pPr>
        <w:spacing w:after="0" w:line="188" w:lineRule="exact"/>
        <w:rPr>
          <w:sz w:val="20"/>
          <w:szCs w:val="20"/>
          <w:color w:val="auto"/>
        </w:rPr>
      </w:pPr>
    </w:p>
    <w:p>
      <w:pPr>
        <w:ind w:left="1440" w:hanging="784"/>
        <w:spacing w:after="0"/>
        <w:tabs>
          <w:tab w:leader="none" w:pos="14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Clauses I of the second paragraph of Section 2 of the April Amendment is hereby deleted in its entirety.</w:t>
      </w:r>
    </w:p>
    <w:p>
      <w:pPr>
        <w:spacing w:after="0" w:line="225" w:lineRule="exact"/>
        <w:rPr>
          <w:rFonts w:ascii="Arial" w:cs="Arial" w:eastAsia="Arial" w:hAnsi="Arial"/>
          <w:sz w:val="18"/>
          <w:szCs w:val="18"/>
          <w:b w:val="1"/>
          <w:bCs w:val="1"/>
          <w:color w:val="auto"/>
        </w:rPr>
      </w:pPr>
    </w:p>
    <w:p>
      <w:pPr>
        <w:ind w:left="1440" w:hanging="784"/>
        <w:spacing w:after="0"/>
        <w:tabs>
          <w:tab w:leader="none" w:pos="144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Clause II of the second paragraph of Section 2 of the April Amendment is hereby amended and restated in its entirety to read as follows:</w:t>
      </w:r>
    </w:p>
    <w:p>
      <w:pPr>
        <w:spacing w:after="0" w:line="248" w:lineRule="exact"/>
        <w:rPr>
          <w:rFonts w:ascii="Arial" w:cs="Arial" w:eastAsia="Arial" w:hAnsi="Arial"/>
          <w:sz w:val="16"/>
          <w:szCs w:val="16"/>
          <w:b w:val="1"/>
          <w:bCs w:val="1"/>
          <w:color w:val="auto"/>
        </w:rPr>
      </w:pPr>
    </w:p>
    <w:p>
      <w:pPr>
        <w:ind w:left="660" w:right="440" w:firstLine="645"/>
        <w:spacing w:after="0" w:line="264" w:lineRule="auto"/>
        <w:tabs>
          <w:tab w:leader="none" w:pos="1593" w:val="left"/>
        </w:tabs>
        <w:numPr>
          <w:ilvl w:val="1"/>
          <w:numId w:val="5"/>
        </w:numPr>
        <w:rPr>
          <w:rFonts w:ascii="Arial" w:cs="Arial" w:eastAsia="Arial" w:hAnsi="Arial"/>
          <w:sz w:val="18"/>
          <w:szCs w:val="18"/>
          <w:color w:val="auto"/>
        </w:rPr>
      </w:pPr>
      <w:r>
        <w:rPr>
          <w:rFonts w:ascii="Arial" w:cs="Arial" w:eastAsia="Arial" w:hAnsi="Arial"/>
          <w:sz w:val="18"/>
          <w:szCs w:val="18"/>
          <w:color w:val="auto"/>
        </w:rPr>
        <w:t>do not contain or incorporate any term, condition or provision (other than the BDC Restructuring Transactions) which is expressly prohibited by the Credit Agreement or the other Loan Documents and is materially adverse to the interests of the Administrative Agent or any Lender,</w:t>
      </w:r>
    </w:p>
    <w:p>
      <w:pPr>
        <w:spacing w:after="0" w:line="181" w:lineRule="exact"/>
        <w:rPr>
          <w:rFonts w:ascii="Arial" w:cs="Arial" w:eastAsia="Arial" w:hAnsi="Arial"/>
          <w:sz w:val="18"/>
          <w:szCs w:val="18"/>
          <w:color w:val="auto"/>
        </w:rPr>
      </w:pPr>
    </w:p>
    <w:p>
      <w:pPr>
        <w:ind w:right="120" w:firstLine="656"/>
        <w:spacing w:after="0" w:line="277" w:lineRule="auto"/>
        <w:tabs>
          <w:tab w:leader="none" w:pos="1438"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Clauses (C), (D) and (F) of the second paragraph of Section 2 of the April Amendment are each hereby amended to replace the reference to “thirty (30) days” with “ninety (90) days”.</w:t>
      </w:r>
    </w:p>
    <w:p>
      <w:pPr>
        <w:spacing w:after="0" w:line="170" w:lineRule="exact"/>
        <w:rPr>
          <w:rFonts w:ascii="Arial" w:cs="Arial" w:eastAsia="Arial" w:hAnsi="Arial"/>
          <w:sz w:val="18"/>
          <w:szCs w:val="18"/>
          <w:b w:val="1"/>
          <w:bCs w:val="1"/>
          <w:color w:val="auto"/>
        </w:rPr>
      </w:pPr>
    </w:p>
    <w:p>
      <w:pPr>
        <w:ind w:left="1440" w:hanging="784"/>
        <w:spacing w:after="0"/>
        <w:tabs>
          <w:tab w:leader="none" w:pos="14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Clause (E) of the second paragraph of Section 2 of the April Amendment is hereby amended and restated to read as follows:</w:t>
      </w:r>
    </w:p>
    <w:p>
      <w:pPr>
        <w:spacing w:after="0" w:line="225" w:lineRule="exact"/>
        <w:rPr>
          <w:rFonts w:ascii="Arial" w:cs="Arial" w:eastAsia="Arial" w:hAnsi="Arial"/>
          <w:sz w:val="18"/>
          <w:szCs w:val="18"/>
          <w:b w:val="1"/>
          <w:bCs w:val="1"/>
          <w:color w:val="auto"/>
        </w:rPr>
      </w:pPr>
    </w:p>
    <w:p>
      <w:pPr>
        <w:jc w:val="both"/>
        <w:ind w:left="660" w:right="280" w:firstLine="645"/>
        <w:spacing w:after="0" w:line="264" w:lineRule="auto"/>
        <w:tabs>
          <w:tab w:leader="none" w:pos="1583" w:val="left"/>
        </w:tabs>
        <w:numPr>
          <w:ilvl w:val="1"/>
          <w:numId w:val="6"/>
        </w:numPr>
        <w:rPr>
          <w:rFonts w:ascii="Arial" w:cs="Arial" w:eastAsia="Arial" w:hAnsi="Arial"/>
          <w:sz w:val="18"/>
          <w:szCs w:val="18"/>
          <w:color w:val="auto"/>
        </w:rPr>
      </w:pPr>
      <w:r>
        <w:rPr>
          <w:rFonts w:ascii="Arial" w:cs="Arial" w:eastAsia="Arial" w:hAnsi="Arial"/>
          <w:sz w:val="18"/>
          <w:szCs w:val="18"/>
          <w:color w:val="auto"/>
        </w:rPr>
        <w:t>within ninety (90) days of the effective date of the Closing Date BDC Restructuring (or such later date as Administrative Agent shall consent to in writing in its sole discretion), Borrower will delivers to Administrative Agent amendments and other modifications to the governing documents of Bermuda Holdings removing the consent</w:t>
      </w:r>
    </w:p>
    <w:p>
      <w:pPr>
        <w:sectPr>
          <w:pgSz w:w="11900" w:h="16838" w:orient="portrait"/>
          <w:cols w:equalWidth="0" w:num="1">
            <w:col w:w="11420"/>
          </w:cols>
          <w:pgMar w:left="240" w:top="121" w:right="239" w:bottom="111"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11" w:gutter="0" w:footer="0" w:header="0"/>
          <w:type w:val="continuous"/>
        </w:sectPr>
      </w:pPr>
    </w:p>
    <w:bookmarkStart w:id="3" w:name="page4"/>
    <w:bookmarkEnd w:id="3"/>
    <w:p>
      <w:pPr>
        <w:ind w:left="660" w:right="40"/>
        <w:spacing w:after="0" w:line="277" w:lineRule="auto"/>
        <w:rPr>
          <w:sz w:val="20"/>
          <w:szCs w:val="20"/>
          <w:color w:val="auto"/>
        </w:rPr>
      </w:pPr>
      <w:r>
        <w:rPr>
          <w:rFonts w:ascii="Arial" w:cs="Arial" w:eastAsia="Arial" w:hAnsi="Arial"/>
          <w:sz w:val="18"/>
          <w:szCs w:val="18"/>
          <w:color w:val="auto"/>
        </w:rPr>
        <w:t>requirement of the directors of Bermuda Holdings with respect to a transfer of the ownership interests of Bermuda Holdings owned by Borrower and pledged to the Lenders,</w:t>
      </w:r>
    </w:p>
    <w:p>
      <w:pPr>
        <w:spacing w:after="0" w:line="170" w:lineRule="exact"/>
        <w:rPr>
          <w:sz w:val="20"/>
          <w:szCs w:val="20"/>
          <w:color w:val="auto"/>
        </w:rPr>
      </w:pPr>
    </w:p>
    <w:p>
      <w:pPr>
        <w:ind w:left="1440" w:hanging="784"/>
        <w:spacing w:after="0"/>
        <w:tabs>
          <w:tab w:leader="none" w:pos="14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Clause (G) of the second paragraph of Section 2 of the April Amendment is hereby amended and restated to read as follows:</w:t>
      </w:r>
    </w:p>
    <w:p>
      <w:pPr>
        <w:spacing w:after="0" w:line="225" w:lineRule="exact"/>
        <w:rPr>
          <w:rFonts w:ascii="Arial" w:cs="Arial" w:eastAsia="Arial" w:hAnsi="Arial"/>
          <w:sz w:val="18"/>
          <w:szCs w:val="18"/>
          <w:b w:val="1"/>
          <w:bCs w:val="1"/>
          <w:color w:val="auto"/>
        </w:rPr>
      </w:pPr>
    </w:p>
    <w:p>
      <w:pPr>
        <w:ind w:left="660" w:right="60" w:firstLine="645"/>
        <w:spacing w:after="0" w:line="289" w:lineRule="auto"/>
        <w:tabs>
          <w:tab w:leader="none" w:pos="2053" w:val="left"/>
        </w:tabs>
        <w:numPr>
          <w:ilvl w:val="1"/>
          <w:numId w:val="7"/>
        </w:numPr>
        <w:rPr>
          <w:rFonts w:ascii="Arial" w:cs="Arial" w:eastAsia="Arial" w:hAnsi="Arial"/>
          <w:sz w:val="16"/>
          <w:szCs w:val="16"/>
          <w:color w:val="auto"/>
        </w:rPr>
      </w:pPr>
      <w:r>
        <w:rPr>
          <w:rFonts w:ascii="Arial" w:cs="Arial" w:eastAsia="Arial" w:hAnsi="Arial"/>
          <w:sz w:val="16"/>
          <w:szCs w:val="16"/>
          <w:color w:val="auto"/>
        </w:rPr>
        <w:t xml:space="preserve">Borrower will use commercially reasonable efforts to deliver to Administrative Agent within ninety (90) days of the effective date of the Closing Date BDC Restructuring Documents (or such later date as Administrative Agent shall consent to in writing in its sole discretion) the original notes and loan agreement (in the case of any portions of the Islandcom Loans that are noteless) evidencing the Islandcom Loans, an original allonge for each original note (if any) evidencing such loans, and a list of, and to the extent requested by Administrative Agent, copies of all other agreements, instruments, certificates, opinions and other documents executed and delivered in connection with any of the loan or security documents subject to the Collateral Assignment Agreement referred to in clause (F); </w:t>
      </w:r>
      <w:r>
        <w:rPr>
          <w:rFonts w:ascii="Arial" w:cs="Arial" w:eastAsia="Arial" w:hAnsi="Arial"/>
          <w:sz w:val="16"/>
          <w:szCs w:val="16"/>
          <w:u w:val="single" w:color="auto"/>
          <w:color w:val="auto"/>
        </w:rPr>
        <w:t>provided that</w:t>
      </w:r>
      <w:r>
        <w:rPr>
          <w:rFonts w:ascii="Arial" w:cs="Arial" w:eastAsia="Arial" w:hAnsi="Arial"/>
          <w:sz w:val="16"/>
          <w:szCs w:val="16"/>
          <w:color w:val="auto"/>
        </w:rPr>
        <w:t>, if Borrower is unable to obtain any such original notes or loan agreements evidencing the Islandcom Loans using commercially reasonable efforts, Borrower will deliver to Administrative Agent a copy of such fully executed note or loan agreement together with an original affidavit certifying that such copy is true, complete and correct and that the original of such note or loan agreement is missing, in form and substance reasonably acceptable to Administrative Agent.</w:t>
      </w:r>
    </w:p>
    <w:p>
      <w:pPr>
        <w:spacing w:after="0" w:line="163" w:lineRule="exact"/>
        <w:rPr>
          <w:sz w:val="20"/>
          <w:szCs w:val="20"/>
          <w:color w:val="auto"/>
        </w:rPr>
      </w:pPr>
    </w:p>
    <w:p>
      <w:pPr>
        <w:jc w:val="both"/>
        <w:ind w:right="100" w:firstLine="648"/>
        <w:spacing w:after="0" w:line="314" w:lineRule="auto"/>
        <w:rPr>
          <w:sz w:val="20"/>
          <w:szCs w:val="20"/>
          <w:color w:val="auto"/>
        </w:rPr>
      </w:pPr>
      <w:r>
        <w:rPr>
          <w:rFonts w:ascii="Arial" w:cs="Arial" w:eastAsia="Arial" w:hAnsi="Arial"/>
          <w:sz w:val="16"/>
          <w:szCs w:val="16"/>
          <w:b w:val="1"/>
          <w:bCs w:val="1"/>
          <w:color w:val="auto"/>
        </w:rPr>
        <w:t xml:space="preserve">SECTION 4. </w:t>
      </w:r>
      <w:r>
        <w:rPr>
          <w:rFonts w:ascii="Arial" w:cs="Arial" w:eastAsia="Arial" w:hAnsi="Arial"/>
          <w:sz w:val="16"/>
          <w:szCs w:val="16"/>
          <w:color w:val="auto"/>
        </w:rPr>
        <w:t>This Agreement shall not constitute a novation of the Credit Agreement or any other Loan Document. Except as expressly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in this Agreement, the execution and delivery of this Agreement does not and will not amend, modify or supplement any provision of, or constitute a consent to or a waiver of any noncompliance with the provisions of, the Loan Documents, and the Loan Documents shall remain in full force and effect.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color w:val="auto"/>
        </w:rPr>
        <w:t>Each of the Loan Parties hereby represents and warrants to the Lenders as follows:</w:t>
      </w:r>
    </w:p>
    <w:p>
      <w:pPr>
        <w:spacing w:after="0" w:line="229" w:lineRule="exact"/>
        <w:rPr>
          <w:sz w:val="20"/>
          <w:szCs w:val="20"/>
          <w:color w:val="auto"/>
        </w:rPr>
      </w:pPr>
    </w:p>
    <w:p>
      <w:pPr>
        <w:ind w:right="40" w:firstLine="681"/>
        <w:spacing w:after="0" w:line="264" w:lineRule="auto"/>
        <w:tabs>
          <w:tab w:leader="none" w:pos="1373"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Such Loan Party has the right and power, and has taken all necessary action to authorize it, to execute, deliver and perform this Agreement in accordance with its terms. This Agreement has been duly executed and delivered by such Loan Party and is a legal, valid and binding obligation of it, enforceable against it in accordance with its terms.</w:t>
      </w:r>
    </w:p>
    <w:p>
      <w:pPr>
        <w:spacing w:after="0" w:line="181" w:lineRule="exact"/>
        <w:rPr>
          <w:rFonts w:ascii="Arial" w:cs="Arial" w:eastAsia="Arial" w:hAnsi="Arial"/>
          <w:sz w:val="18"/>
          <w:szCs w:val="18"/>
          <w:b w:val="1"/>
          <w:bCs w:val="1"/>
          <w:color w:val="auto"/>
        </w:rPr>
      </w:pPr>
    </w:p>
    <w:p>
      <w:pPr>
        <w:ind w:right="260" w:firstLine="681"/>
        <w:spacing w:after="0" w:line="277" w:lineRule="auto"/>
        <w:tabs>
          <w:tab w:leader="none" w:pos="1363"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execution, delivery and performance of this Agreement in accordance with its terms do not and will not, by the passage of time, the giving of notice or otherwise,</w:t>
      </w:r>
    </w:p>
    <w:p>
      <w:pPr>
        <w:spacing w:after="0" w:line="170" w:lineRule="exact"/>
        <w:rPr>
          <w:rFonts w:ascii="Arial" w:cs="Arial" w:eastAsia="Arial" w:hAnsi="Arial"/>
          <w:sz w:val="18"/>
          <w:szCs w:val="18"/>
          <w:b w:val="1"/>
          <w:bCs w:val="1"/>
          <w:color w:val="auto"/>
        </w:rPr>
      </w:pPr>
    </w:p>
    <w:p>
      <w:pPr>
        <w:ind w:left="2100" w:hanging="742"/>
        <w:spacing w:after="0"/>
        <w:tabs>
          <w:tab w:leader="none" w:pos="2100" w:val="left"/>
        </w:tabs>
        <w:numPr>
          <w:ilvl w:val="1"/>
          <w:numId w:val="8"/>
        </w:numPr>
        <w:rPr>
          <w:rFonts w:ascii="Arial" w:cs="Arial" w:eastAsia="Arial" w:hAnsi="Arial"/>
          <w:sz w:val="16"/>
          <w:szCs w:val="16"/>
          <w:b w:val="1"/>
          <w:bCs w:val="1"/>
          <w:color w:val="auto"/>
        </w:rPr>
      </w:pPr>
      <w:r>
        <w:rPr>
          <w:rFonts w:ascii="Arial" w:cs="Arial" w:eastAsia="Arial" w:hAnsi="Arial"/>
          <w:sz w:val="16"/>
          <w:szCs w:val="16"/>
          <w:color w:val="auto"/>
        </w:rPr>
        <w:t>require any Governmental Approval (except as previously obtained) or violate any Applicable Law relating to such Loan Party;</w:t>
      </w:r>
    </w:p>
    <w:p>
      <w:pPr>
        <w:spacing w:after="0" w:line="248" w:lineRule="exact"/>
        <w:rPr>
          <w:rFonts w:ascii="Arial" w:cs="Arial" w:eastAsia="Arial" w:hAnsi="Arial"/>
          <w:sz w:val="16"/>
          <w:szCs w:val="16"/>
          <w:b w:val="1"/>
          <w:bCs w:val="1"/>
          <w:color w:val="auto"/>
        </w:rPr>
      </w:pPr>
    </w:p>
    <w:p>
      <w:pPr>
        <w:ind w:left="680" w:right="280" w:firstLine="675"/>
        <w:spacing w:after="0" w:line="277" w:lineRule="auto"/>
        <w:tabs>
          <w:tab w:leader="none" w:pos="2103"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conflict with, result in a breach of or constitute a default under the organizational documents of such Loan Party, any material provision of any indenture,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80" w:right="180"/>
        <w:spacing w:after="0" w:line="277" w:lineRule="auto"/>
        <w:rPr>
          <w:sz w:val="20"/>
          <w:szCs w:val="20"/>
          <w:color w:val="auto"/>
        </w:rPr>
      </w:pPr>
      <w:r>
        <w:rPr>
          <w:rFonts w:ascii="Arial" w:cs="Arial" w:eastAsia="Arial" w:hAnsi="Arial"/>
          <w:sz w:val="18"/>
          <w:szCs w:val="18"/>
          <w:color w:val="auto"/>
        </w:rPr>
        <w:t>agreement or other instrument to which it is a party or by which it or any of its properties may be bound or any Governmental Approval relating to it; or</w:t>
      </w:r>
    </w:p>
    <w:p>
      <w:pPr>
        <w:spacing w:after="0" w:line="170" w:lineRule="exact"/>
        <w:rPr>
          <w:sz w:val="20"/>
          <w:szCs w:val="20"/>
          <w:color w:val="auto"/>
        </w:rPr>
      </w:pPr>
    </w:p>
    <w:p>
      <w:pPr>
        <w:ind w:left="680" w:right="160" w:firstLine="675"/>
        <w:spacing w:after="0" w:line="277" w:lineRule="auto"/>
        <w:tabs>
          <w:tab w:leader="none" w:pos="2103"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result in or require the creation or imposition of any Lien (except as permitted by the Loan Documents) upon or with respect to any property now owned or hereafter acquired by such Loan Party.</w:t>
      </w:r>
    </w:p>
    <w:p>
      <w:pPr>
        <w:spacing w:after="0" w:line="170" w:lineRule="exact"/>
        <w:rPr>
          <w:rFonts w:ascii="Arial" w:cs="Arial" w:eastAsia="Arial" w:hAnsi="Arial"/>
          <w:sz w:val="18"/>
          <w:szCs w:val="18"/>
          <w:b w:val="1"/>
          <w:bCs w:val="1"/>
          <w:color w:val="auto"/>
        </w:rPr>
      </w:pPr>
    </w:p>
    <w:p>
      <w:pPr>
        <w:ind w:firstLine="656"/>
        <w:spacing w:after="0" w:line="264" w:lineRule="auto"/>
        <w:tabs>
          <w:tab w:leader="none" w:pos="1348"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representations and warranties of such Loan Party set forth in the Loan Documents are true and correct in all material respects as of the date hereof as if made on the date hereof (except to the extent any such representation or warranty is expressly stated to have been made as of a specific date, in which case such representations or warranty shall be true and correct as of such specified date).</w:t>
      </w:r>
    </w:p>
    <w:p>
      <w:pPr>
        <w:spacing w:after="0" w:line="181" w:lineRule="exact"/>
        <w:rPr>
          <w:rFonts w:ascii="Arial" w:cs="Arial" w:eastAsia="Arial" w:hAnsi="Arial"/>
          <w:sz w:val="18"/>
          <w:szCs w:val="18"/>
          <w:b w:val="1"/>
          <w:bCs w:val="1"/>
          <w:color w:val="auto"/>
        </w:rPr>
      </w:pPr>
    </w:p>
    <w:p>
      <w:pPr>
        <w:ind w:left="1360" w:hanging="704"/>
        <w:spacing w:after="0"/>
        <w:tabs>
          <w:tab w:leader="none" w:pos="13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No Event of Default under the Loan Documents has occurred and is continuing as of this date.</w:t>
      </w:r>
    </w:p>
    <w:p>
      <w:pPr>
        <w:spacing w:after="0" w:line="225" w:lineRule="exact"/>
        <w:rPr>
          <w:rFonts w:ascii="Arial" w:cs="Arial" w:eastAsia="Arial" w:hAnsi="Arial"/>
          <w:sz w:val="18"/>
          <w:szCs w:val="18"/>
          <w:b w:val="1"/>
          <w:bCs w:val="1"/>
          <w:color w:val="auto"/>
        </w:rPr>
      </w:pPr>
    </w:p>
    <w:p>
      <w:pPr>
        <w:jc w:val="both"/>
        <w:ind w:right="40" w:firstLine="656"/>
        <w:spacing w:after="0" w:line="279" w:lineRule="auto"/>
        <w:tabs>
          <w:tab w:leader="none" w:pos="1383"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The amendments and other modifications to the Amended and Restated Transition Services Agreement between Cellco Partnership d/b/a Verizon Wireless and Borrower dated as of March 30, 2010 set forth in the Amendment Number 1 to Amended and Restated Transition Services Agreement between Cellco Partnership d/b/a Verizon Wireless and Borrower on and as of January 27, 2011 are not, individually or in the aggregate, materially adverse to the Administrative Agent or any Lender and would not, individually or in the aggregate, otherwise have a Material Adverse Effect.</w:t>
      </w:r>
    </w:p>
    <w:p>
      <w:pPr>
        <w:spacing w:after="0" w:line="167" w:lineRule="exact"/>
        <w:rPr>
          <w:sz w:val="20"/>
          <w:szCs w:val="20"/>
          <w:color w:val="auto"/>
        </w:rPr>
      </w:pPr>
    </w:p>
    <w:p>
      <w:pPr>
        <w:jc w:val="both"/>
        <w:ind w:right="100" w:firstLine="648"/>
        <w:spacing w:after="0" w:line="266"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color w:val="auto"/>
        </w:rPr>
        <w:t>Borrower hereby confirms and agrees that (a), other than as expressly provided herein, each Security Document is and shall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to be in full force and effect, and (b) the obligations secured by each such document include any and all obligations of the Loan Parties to the Secured Parties under the Credit Agreement.</w:t>
      </w:r>
    </w:p>
    <w:p>
      <w:pPr>
        <w:spacing w:after="0" w:line="176" w:lineRule="exact"/>
        <w:rPr>
          <w:sz w:val="20"/>
          <w:szCs w:val="20"/>
          <w:color w:val="auto"/>
        </w:rPr>
      </w:pPr>
    </w:p>
    <w:p>
      <w:pPr>
        <w:ind w:right="480" w:firstLine="648"/>
        <w:spacing w:after="0" w:line="289" w:lineRule="auto"/>
        <w:rPr>
          <w:sz w:val="20"/>
          <w:szCs w:val="20"/>
          <w:color w:val="auto"/>
        </w:rPr>
      </w:pPr>
      <w:r>
        <w:rPr>
          <w:rFonts w:ascii="Arial" w:cs="Arial" w:eastAsia="Arial" w:hAnsi="Arial"/>
          <w:sz w:val="17"/>
          <w:szCs w:val="17"/>
          <w:b w:val="1"/>
          <w:bCs w:val="1"/>
          <w:color w:val="auto"/>
        </w:rPr>
        <w:t xml:space="preserve">SECTION 7. </w:t>
      </w:r>
      <w:r>
        <w:rPr>
          <w:rFonts w:ascii="Arial" w:cs="Arial" w:eastAsia="Arial" w:hAnsi="Arial"/>
          <w:sz w:val="17"/>
          <w:szCs w:val="17"/>
          <w:color w:val="auto"/>
        </w:rPr>
        <w:t>Each of the Guarantors hereby confirms and agrees that (a) its guarantee contained in the Credit Agreement and each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 to which it is a party is and shall continue to be in full force and effect, and (b) the obligations guaranteed or secured by each such applicable document include any and all obligations of the Loan Parties to the Secured Parties under the Credit Agreement.</w:t>
      </w:r>
    </w:p>
    <w:p>
      <w:pPr>
        <w:spacing w:after="0" w:line="158"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color w:val="auto"/>
        </w:rPr>
        <w:t>This Agreement shall become effective as of the date of, and shall bind all parties only upon, the satisfaction by Borrower or waiver</w:t>
      </w:r>
      <w:r>
        <w:rPr>
          <w:rFonts w:ascii="Arial" w:cs="Arial" w:eastAsia="Arial" w:hAnsi="Arial"/>
          <w:sz w:val="18"/>
          <w:szCs w:val="18"/>
          <w:b w:val="1"/>
          <w:bCs w:val="1"/>
          <w:color w:val="auto"/>
        </w:rPr>
        <w:t xml:space="preserve"> </w:t>
      </w:r>
      <w:r>
        <w:rPr>
          <w:rFonts w:ascii="Arial" w:cs="Arial" w:eastAsia="Arial" w:hAnsi="Arial"/>
          <w:sz w:val="18"/>
          <w:szCs w:val="18"/>
          <w:color w:val="auto"/>
        </w:rPr>
        <w:t>by Administrative Agent of the following conditions precedent (such date,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62" w:lineRule="exact"/>
        <w:rPr>
          <w:sz w:val="20"/>
          <w:szCs w:val="20"/>
          <w:color w:val="auto"/>
        </w:rPr>
      </w:pPr>
    </w:p>
    <w:p>
      <w:pPr>
        <w:ind w:left="1440" w:hanging="784"/>
        <w:spacing w:after="0"/>
        <w:tabs>
          <w:tab w:leader="none" w:pos="144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 Agreement. </w:t>
      </w:r>
      <w:r>
        <w:rPr>
          <w:rFonts w:ascii="Arial" w:cs="Arial" w:eastAsia="Arial" w:hAnsi="Arial"/>
          <w:sz w:val="16"/>
          <w:szCs w:val="16"/>
          <w:color w:val="auto"/>
        </w:rPr>
        <w:t>Administrative Agent shall have received this Agreement duly executed by Borrower, each Loan Party, and</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Requisite Lenders;</w:t>
      </w:r>
    </w:p>
    <w:p>
      <w:pPr>
        <w:spacing w:after="0" w:line="206" w:lineRule="exact"/>
        <w:rPr>
          <w:rFonts w:ascii="Arial" w:cs="Arial" w:eastAsia="Arial" w:hAnsi="Arial"/>
          <w:sz w:val="16"/>
          <w:szCs w:val="16"/>
          <w:b w:val="1"/>
          <w:bCs w:val="1"/>
          <w:color w:val="auto"/>
        </w:rPr>
      </w:pPr>
    </w:p>
    <w:p>
      <w:pPr>
        <w:ind w:right="260" w:firstLine="656"/>
        <w:spacing w:after="0" w:line="289" w:lineRule="auto"/>
        <w:tabs>
          <w:tab w:leader="none" w:pos="1428"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Pro Forma Compliance Certificate</w:t>
      </w:r>
      <w:r>
        <w:rPr>
          <w:rFonts w:ascii="Arial" w:cs="Arial" w:eastAsia="Arial" w:hAnsi="Arial"/>
          <w:sz w:val="17"/>
          <w:szCs w:val="17"/>
          <w:color w:val="auto"/>
        </w:rPr>
        <w:t>. Administrative Agent shall have received a fully and properly completed pro forma Compliance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(giving effect to the amendments contemplated hereby), signed by two of the chief executive officer, the chief financial officer and the chief accounting officer of Borrower, including Indebtedness as of the Effective Date and the previous four full fiscal quarters.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00" w:gutter="0" w:footer="0" w:header="0"/>
        </w:sectPr>
      </w:pPr>
    </w:p>
    <w:bookmarkStart w:id="4" w:name="page5"/>
    <w:bookmarkEnd w:id="4"/>
    <w:p>
      <w:pPr>
        <w:ind w:firstLine="656"/>
        <w:spacing w:after="0" w:line="261" w:lineRule="auto"/>
        <w:tabs>
          <w:tab w:leader="none" w:pos="1438"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 The representations and warranties of each Loan Party contained in this Agreement or any other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to which it is a party shall be true and correct in all material respects on and as of the date hereof, as though made on and as of the date hereof (except to the extent any such representation or warranty is expressly stated to have been made as of a specific date, in which case such representations or warranty shall be true and correct as of such specified date).</w:t>
      </w:r>
    </w:p>
    <w:p>
      <w:pPr>
        <w:spacing w:after="0" w:line="180" w:lineRule="exact"/>
        <w:rPr>
          <w:rFonts w:ascii="Arial" w:cs="Arial" w:eastAsia="Arial" w:hAnsi="Arial"/>
          <w:sz w:val="18"/>
          <w:szCs w:val="18"/>
          <w:b w:val="1"/>
          <w:bCs w:val="1"/>
          <w:color w:val="auto"/>
        </w:rPr>
      </w:pPr>
    </w:p>
    <w:p>
      <w:pPr>
        <w:ind w:right="220" w:firstLine="656"/>
        <w:spacing w:after="0" w:line="282" w:lineRule="auto"/>
        <w:tabs>
          <w:tab w:leader="none" w:pos="1438"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Material Adverse Change</w:t>
      </w:r>
      <w:r>
        <w:rPr>
          <w:rFonts w:ascii="Arial" w:cs="Arial" w:eastAsia="Arial" w:hAnsi="Arial"/>
          <w:sz w:val="18"/>
          <w:szCs w:val="18"/>
          <w:color w:val="auto"/>
        </w:rPr>
        <w:t>. Since December 31, 2010, there shall not have occurred any event or condition affecting the Loan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which individually or in the aggregate has had or could reasonably be expected to have a Material Adverse Effect.</w:t>
      </w:r>
    </w:p>
    <w:p>
      <w:pPr>
        <w:spacing w:after="0" w:line="161" w:lineRule="exact"/>
        <w:rPr>
          <w:rFonts w:ascii="Arial" w:cs="Arial" w:eastAsia="Arial" w:hAnsi="Arial"/>
          <w:sz w:val="18"/>
          <w:szCs w:val="18"/>
          <w:b w:val="1"/>
          <w:bCs w:val="1"/>
          <w:color w:val="auto"/>
        </w:rPr>
      </w:pPr>
    </w:p>
    <w:p>
      <w:pPr>
        <w:ind w:firstLine="656"/>
        <w:spacing w:after="0" w:line="314" w:lineRule="auto"/>
        <w:tabs>
          <w:tab w:leader="none" w:pos="1428"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Payment of Costs and Expenses</w:t>
      </w:r>
      <w:r>
        <w:rPr>
          <w:rFonts w:ascii="Arial" w:cs="Arial" w:eastAsia="Arial" w:hAnsi="Arial"/>
          <w:sz w:val="16"/>
          <w:szCs w:val="16"/>
          <w:color w:val="auto"/>
        </w:rPr>
        <w:t>. Borrower shall have paid to Administrative Agent, all invoiced and reasonable out-of-pocket costs and</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incurred by Administrative Agent, including, without limitation, the reasonable fees and expenses of counsel retained by Administrative Agent, in connection with the negotiation, preparation, execution and delivery of this Agreement and all other instruments and documents contemplated hereby.</w:t>
      </w:r>
    </w:p>
    <w:p>
      <w:pPr>
        <w:spacing w:after="0" w:line="142" w:lineRule="exact"/>
        <w:rPr>
          <w:sz w:val="20"/>
          <w:szCs w:val="20"/>
          <w:color w:val="auto"/>
        </w:rPr>
      </w:pPr>
    </w:p>
    <w:p>
      <w:pPr>
        <w:jc w:val="both"/>
        <w:ind w:right="120" w:firstLine="648"/>
        <w:spacing w:after="0" w:line="266"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color w:val="auto"/>
        </w:rPr>
        <w:t>This Agreement may be executed in any number of counterparts and by the different parties hereto in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shall be deemed to be an original and shall be binding upon all parties and their respective permitted successors and assigns, and all of which taken together shall constitute one and the same agreement.</w:t>
      </w:r>
    </w:p>
    <w:p>
      <w:pPr>
        <w:spacing w:after="0" w:line="176" w:lineRule="exact"/>
        <w:rPr>
          <w:sz w:val="20"/>
          <w:szCs w:val="20"/>
          <w:color w:val="auto"/>
        </w:rPr>
      </w:pPr>
    </w:p>
    <w:p>
      <w:pPr>
        <w:ind w:right="860" w:firstLine="648"/>
        <w:spacing w:after="0" w:line="282"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color w:val="auto"/>
        </w:rPr>
        <w:t>This Agreement shall be governed by and shall be construed and enforced in accordance with all provisions of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including the governing law provisions thereof.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Follow on Next Page.]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Witness the due execution hereof by the respective duly authorized officers of the undersigned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ATLANTIC TELE-NETWORK, INC.</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Justin D. Benincasa</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Justin D. Benincasa,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-130810</wp:posOffset>
            </wp:positionV>
            <wp:extent cx="36360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GUARANTORS:</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COMMNET WIRELESS, LLC</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COMMNET FOUR CORNERS, LLC</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COMMNET MIDWEST, LLC</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COMMNET OF ARIZONA, L.L.C.</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GILA COUNTY WIRELESS, LLC</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EXCOMM, L.L.C</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SOVERNET HOLDING CORPORATION</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COMMNET OF NEVADA, LLC</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TISDALE TELEPHONE COMPANY, LLC</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COMMNET OF GEORGIA, LLC</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CHOICE COMMUNICATIONS, LLC</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ALLIED WIRELESS COMMUNICATIONS CORPORATION</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ALLIED WIRELESS COMMUNICATIONS (GA), LLC</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ALLIED WIRELESS COMMUNICATIONS (ID), LLC</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ALLIED WIRELESS COMMUNICATIONS (IL), LLC</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ALLIED WIRELESS COMMUNICATIONS (NC), LLC</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ALLIED WIRELESS COMMUNICATIONS (OH), LLC</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ALLIED WIRELESS COMMUNICATIONS (SC), LLC</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COMMNET NEWCO, LLC</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Justin D. Benincasa</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Justin D. Benincasa,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-130810</wp:posOffset>
            </wp:positionV>
            <wp:extent cx="36360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SOVERNET, INC.</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NATIONAL MOBILE COMMUNICATIONS CORPORATION</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Justin D. Benincasa</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Justin D. Benincasa,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-130810</wp:posOffset>
            </wp:positionV>
            <wp:extent cx="36360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SAL SPECTRUM LLC</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Atlantic Tele-Network, Inc., its Sole Member</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Justin D. Benincasa</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Justin D. Benincasa,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-130810</wp:posOffset>
            </wp:positionV>
            <wp:extent cx="36360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continued from previous page]</w:t>
      </w:r>
    </w:p>
    <w:p>
      <w:pPr>
        <w:sectPr>
          <w:pgSz w:w="11900" w:h="16838" w:orient="portrait"/>
          <w:cols w:equalWidth="0" w:num="1">
            <w:col w:w="11400"/>
          </w:cols>
          <w:pgMar w:left="240" w:top="337" w:right="259" w:bottom="0" w:gutter="0" w:footer="0" w:header="0"/>
        </w:sectPr>
      </w:pPr>
    </w:p>
    <w:bookmarkStart w:id="5" w:name="page6"/>
    <w:bookmarkEnd w:id="5"/>
    <w:p>
      <w:pPr>
        <w:ind w:left="4700"/>
        <w:spacing w:after="0"/>
        <w:rPr>
          <w:sz w:val="20"/>
          <w:szCs w:val="20"/>
          <w:color w:val="auto"/>
        </w:rPr>
      </w:pPr>
      <w:r>
        <w:rPr>
          <w:rFonts w:ascii="Arial" w:cs="Arial" w:eastAsia="Arial" w:hAnsi="Arial"/>
          <w:sz w:val="16"/>
          <w:szCs w:val="16"/>
          <w:b w:val="1"/>
          <w:bCs w:val="1"/>
          <w:color w:val="auto"/>
        </w:rPr>
        <w:t xml:space="preserve">COBANK, ACB, </w:t>
      </w:r>
      <w:r>
        <w:rPr>
          <w:rFonts w:ascii="Arial" w:cs="Arial" w:eastAsia="Arial" w:hAnsi="Arial"/>
          <w:sz w:val="16"/>
          <w:szCs w:val="16"/>
          <w:color w:val="auto"/>
        </w:rPr>
        <w:t>as Administrative Agent and as a Lender</w:t>
      </w:r>
    </w:p>
    <w:p>
      <w:pPr>
        <w:spacing w:after="0" w:line="200" w:lineRule="exact"/>
        <w:rPr>
          <w:sz w:val="20"/>
          <w:szCs w:val="20"/>
          <w:color w:val="auto"/>
        </w:rPr>
      </w:pPr>
    </w:p>
    <w:p>
      <w:pPr>
        <w:spacing w:after="0" w:line="268" w:lineRule="exact"/>
        <w:rPr>
          <w:sz w:val="20"/>
          <w:szCs w:val="20"/>
          <w:color w:val="auto"/>
        </w:rPr>
      </w:pPr>
    </w:p>
    <w:p>
      <w:pPr>
        <w:ind w:left="4700"/>
        <w:spacing w:after="0"/>
        <w:tabs>
          <w:tab w:leader="none" w:pos="5180" w:val="left"/>
        </w:tabs>
        <w:rPr>
          <w:sz w:val="20"/>
          <w:szCs w:val="20"/>
          <w:color w:val="auto"/>
        </w:rPr>
      </w:pPr>
      <w:r>
        <w:rPr>
          <w:rFonts w:ascii="Arial" w:cs="Arial" w:eastAsia="Arial" w:hAnsi="Arial"/>
          <w:sz w:val="18"/>
          <w:szCs w:val="18"/>
          <w:color w:val="auto"/>
        </w:rPr>
        <w:t>By:</w:t>
        <w:tab/>
        <w:t>/s/ John Cole</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John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[Signatures Continued from Previous Page.]</w:t>
      </w:r>
    </w:p>
    <w:p>
      <w:pPr>
        <w:spacing w:after="0" w:line="200" w:lineRule="exact"/>
        <w:rPr>
          <w:sz w:val="20"/>
          <w:szCs w:val="20"/>
          <w:color w:val="auto"/>
        </w:rPr>
      </w:pPr>
    </w:p>
    <w:p>
      <w:pPr>
        <w:spacing w:after="0" w:line="260"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BANCO POPULAR DE PUERTO RICO</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700"/>
        <w:spacing w:after="0"/>
        <w:tabs>
          <w:tab w:leader="none" w:pos="5140" w:val="left"/>
        </w:tabs>
        <w:rPr>
          <w:sz w:val="20"/>
          <w:szCs w:val="20"/>
          <w:color w:val="auto"/>
        </w:rPr>
      </w:pPr>
      <w:r>
        <w:rPr>
          <w:rFonts w:ascii="Arial" w:cs="Arial" w:eastAsia="Arial" w:hAnsi="Arial"/>
          <w:sz w:val="18"/>
          <w:szCs w:val="18"/>
          <w:color w:val="auto"/>
        </w:rPr>
        <w:t>By:</w:t>
        <w:tab/>
        <w:t>/s/ Ian S. Smith</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Ian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3273425</wp:posOffset>
            </wp:positionH>
            <wp:positionV relativeFrom="paragraph">
              <wp:posOffset>-130810</wp:posOffset>
            </wp:positionV>
            <wp:extent cx="32156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Senior Vice President &amp; Region Manager,</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Loans and Credit Administration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[Signatures Continued from Previous Page.]</w:t>
      </w:r>
    </w:p>
    <w:p>
      <w:pPr>
        <w:spacing w:after="0" w:line="200" w:lineRule="exact"/>
        <w:rPr>
          <w:sz w:val="20"/>
          <w:szCs w:val="20"/>
          <w:color w:val="auto"/>
        </w:rPr>
      </w:pPr>
    </w:p>
    <w:p>
      <w:pPr>
        <w:spacing w:after="0" w:line="260" w:lineRule="exact"/>
        <w:rPr>
          <w:sz w:val="20"/>
          <w:szCs w:val="20"/>
          <w:color w:val="auto"/>
        </w:rPr>
      </w:pPr>
    </w:p>
    <w:p>
      <w:pPr>
        <w:jc w:val="right"/>
        <w:ind w:right="19"/>
        <w:spacing w:after="0"/>
        <w:rPr>
          <w:sz w:val="20"/>
          <w:szCs w:val="20"/>
          <w:color w:val="auto"/>
        </w:rPr>
      </w:pPr>
      <w:r>
        <w:rPr>
          <w:rFonts w:ascii="Arial" w:cs="Arial" w:eastAsia="Arial" w:hAnsi="Arial"/>
          <w:sz w:val="18"/>
          <w:szCs w:val="18"/>
          <w:b w:val="1"/>
          <w:bCs w:val="1"/>
          <w:color w:val="auto"/>
        </w:rPr>
        <w:t>BROWN BROTHERS HARRIMAN &amp; CO.</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700"/>
        <w:spacing w:after="0"/>
        <w:tabs>
          <w:tab w:leader="none" w:pos="5140" w:val="left"/>
        </w:tabs>
        <w:rPr>
          <w:sz w:val="20"/>
          <w:szCs w:val="20"/>
          <w:color w:val="auto"/>
        </w:rPr>
      </w:pPr>
      <w:r>
        <w:rPr>
          <w:rFonts w:ascii="Arial" w:cs="Arial" w:eastAsia="Arial" w:hAnsi="Arial"/>
          <w:sz w:val="18"/>
          <w:szCs w:val="18"/>
          <w:color w:val="auto"/>
        </w:rPr>
        <w:t>By:</w:t>
        <w:tab/>
        <w:t>/s/ Scott Meves</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Scott Meves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3273425</wp:posOffset>
            </wp:positionH>
            <wp:positionV relativeFrom="paragraph">
              <wp:posOffset>-130810</wp:posOffset>
            </wp:positionV>
            <wp:extent cx="32156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Senior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[Signatures Continued from Previous Page.]</w:t>
      </w:r>
    </w:p>
    <w:p>
      <w:pPr>
        <w:spacing w:after="0" w:line="200" w:lineRule="exact"/>
        <w:rPr>
          <w:sz w:val="20"/>
          <w:szCs w:val="20"/>
          <w:color w:val="auto"/>
        </w:rPr>
      </w:pPr>
    </w:p>
    <w:p>
      <w:pPr>
        <w:spacing w:after="0" w:line="26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FIFTH THIRD BANK</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80"/>
        <w:spacing w:after="0"/>
        <w:tabs>
          <w:tab w:leader="none" w:pos="5040" w:val="left"/>
        </w:tabs>
        <w:rPr>
          <w:sz w:val="20"/>
          <w:szCs w:val="20"/>
          <w:color w:val="auto"/>
        </w:rPr>
      </w:pPr>
      <w:r>
        <w:rPr>
          <w:rFonts w:ascii="Arial" w:cs="Arial" w:eastAsia="Arial" w:hAnsi="Arial"/>
          <w:sz w:val="18"/>
          <w:szCs w:val="18"/>
          <w:color w:val="auto"/>
        </w:rPr>
        <w:t>By:</w:t>
        <w:tab/>
        <w:t>/s/ Valerie Schanzer</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Valerie Schanzer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-130810</wp:posOffset>
            </wp:positionV>
            <wp:extent cx="32759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[Signatures Continued from Previous Page.]</w:t>
      </w:r>
    </w:p>
    <w:p>
      <w:pPr>
        <w:spacing w:after="0" w:line="200" w:lineRule="exact"/>
        <w:rPr>
          <w:sz w:val="20"/>
          <w:szCs w:val="20"/>
          <w:color w:val="auto"/>
        </w:rPr>
      </w:pPr>
    </w:p>
    <w:p>
      <w:pPr>
        <w:spacing w:after="0" w:line="26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RAYMOND JAMES BANK, FSB</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00" w:val="left"/>
        </w:tabs>
        <w:rPr>
          <w:sz w:val="20"/>
          <w:szCs w:val="20"/>
          <w:color w:val="auto"/>
        </w:rPr>
      </w:pPr>
      <w:r>
        <w:rPr>
          <w:rFonts w:ascii="Arial" w:cs="Arial" w:eastAsia="Arial" w:hAnsi="Arial"/>
          <w:sz w:val="18"/>
          <w:szCs w:val="18"/>
          <w:color w:val="auto"/>
        </w:rPr>
        <w:t>By:</w:t>
        <w:tab/>
        <w:t>/s/ Joseph A. Ciccolini</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Joseph A. Ciccolini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-130810</wp:posOffset>
            </wp:positionV>
            <wp:extent cx="33020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Vice President — Senior Corporate</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Banker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553" w:right="1440" w:bottom="285" w:gutter="0" w:footer="0" w:header="0"/>
        </w:sectPr>
      </w:pPr>
    </w:p>
    <w:bookmarkStart w:id="6" w:name="page7"/>
    <w:bookmarkEnd w:id="6"/>
    <w:p>
      <w:pPr>
        <w:ind w:left="2920"/>
        <w:spacing w:after="0"/>
        <w:rPr>
          <w:sz w:val="20"/>
          <w:szCs w:val="20"/>
          <w:color w:val="auto"/>
        </w:rPr>
      </w:pPr>
      <w:r>
        <w:rPr>
          <w:rFonts w:ascii="Arial" w:cs="Arial" w:eastAsia="Arial" w:hAnsi="Arial"/>
          <w:sz w:val="18"/>
          <w:szCs w:val="18"/>
          <w:color w:val="auto"/>
        </w:rPr>
        <w:t>[Signatures Continued from Previous Page.]</w:t>
      </w:r>
    </w:p>
    <w:p>
      <w:pPr>
        <w:spacing w:after="0" w:line="200" w:lineRule="exact"/>
        <w:rPr>
          <w:sz w:val="20"/>
          <w:szCs w:val="20"/>
          <w:color w:val="auto"/>
        </w:rPr>
      </w:pP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TD BANK, N.A.</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20" w:val="left"/>
        </w:tabs>
        <w:rPr>
          <w:sz w:val="20"/>
          <w:szCs w:val="20"/>
          <w:color w:val="auto"/>
        </w:rPr>
      </w:pPr>
      <w:r>
        <w:rPr>
          <w:rFonts w:ascii="Arial" w:cs="Arial" w:eastAsia="Arial" w:hAnsi="Arial"/>
          <w:sz w:val="18"/>
          <w:szCs w:val="18"/>
          <w:color w:val="auto"/>
        </w:rPr>
        <w:t>By:</w:t>
        <w:tab/>
        <w:t>/s/ Marla Willner</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Marla Willner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-130810</wp:posOffset>
            </wp:positionV>
            <wp:extent cx="32848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[Signatures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[Signatures Continued from Previous Page.]</w:t>
      </w:r>
    </w:p>
    <w:p>
      <w:pPr>
        <w:spacing w:after="0" w:line="200" w:lineRule="exact"/>
        <w:rPr>
          <w:sz w:val="20"/>
          <w:szCs w:val="20"/>
          <w:color w:val="auto"/>
        </w:rPr>
      </w:pP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UNION BANK, N.A.</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David Hill</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David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Vice President</w:t>
      </w:r>
    </w:p>
    <w:p>
      <w:pPr>
        <w:spacing w:after="0" w:line="21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[Signatures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[Signatures Continued from Previous Page.]</w:t>
      </w:r>
    </w:p>
    <w:p>
      <w:pPr>
        <w:spacing w:after="0" w:line="221" w:lineRule="exact"/>
        <w:rPr>
          <w:sz w:val="20"/>
          <w:szCs w:val="20"/>
          <w:color w:val="auto"/>
        </w:rPr>
      </w:pPr>
    </w:p>
    <w:p>
      <w:pPr>
        <w:ind w:left="4520" w:right="100"/>
        <w:spacing w:after="0" w:line="282" w:lineRule="auto"/>
        <w:rPr>
          <w:sz w:val="20"/>
          <w:szCs w:val="20"/>
          <w:color w:val="auto"/>
        </w:rPr>
      </w:pPr>
      <w:r>
        <w:rPr>
          <w:rFonts w:ascii="Arial" w:cs="Arial" w:eastAsia="Arial" w:hAnsi="Arial"/>
          <w:sz w:val="18"/>
          <w:szCs w:val="18"/>
          <w:b w:val="1"/>
          <w:bCs w:val="1"/>
          <w:color w:val="auto"/>
        </w:rPr>
        <w:t>AGCHOICE FARM CREDIT FLCA, as a voting participant pursuant to Subsection 8.1(D) of the Credit Agreement</w:t>
      </w:r>
    </w:p>
    <w:p>
      <w:pPr>
        <w:spacing w:after="0" w:line="382"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F. Kerstetter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Mark F. Kerstetter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-130810</wp:posOffset>
            </wp:positionV>
            <wp:extent cx="33445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[Signatures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[Signatures Continued from Previous Page.]</w:t>
      </w:r>
    </w:p>
    <w:p>
      <w:pPr>
        <w:spacing w:after="0" w:line="221" w:lineRule="exact"/>
        <w:rPr>
          <w:sz w:val="20"/>
          <w:szCs w:val="20"/>
          <w:color w:val="auto"/>
        </w:rPr>
      </w:pPr>
    </w:p>
    <w:p>
      <w:pPr>
        <w:ind w:left="4520" w:right="20"/>
        <w:spacing w:after="0" w:line="282" w:lineRule="auto"/>
        <w:rPr>
          <w:sz w:val="20"/>
          <w:szCs w:val="20"/>
          <w:color w:val="auto"/>
        </w:rPr>
      </w:pPr>
      <w:r>
        <w:rPr>
          <w:rFonts w:ascii="Arial" w:cs="Arial" w:eastAsia="Arial" w:hAnsi="Arial"/>
          <w:sz w:val="18"/>
          <w:szCs w:val="18"/>
          <w:b w:val="1"/>
          <w:bCs w:val="1"/>
          <w:color w:val="auto"/>
        </w:rPr>
        <w:t>Farm Credit Services of America, FLCA, as a voting participant pursuant to Subsection 8.1(D) of the Credit Agreement</w:t>
      </w:r>
    </w:p>
    <w:p>
      <w:pPr>
        <w:spacing w:after="0" w:line="382" w:lineRule="exact"/>
        <w:rPr>
          <w:sz w:val="20"/>
          <w:szCs w:val="20"/>
          <w:color w:val="auto"/>
        </w:rPr>
      </w:pPr>
    </w:p>
    <w:p>
      <w:pPr>
        <w:ind w:left="452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Zhang</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John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-130810</wp:posOffset>
            </wp:positionV>
            <wp:extent cx="33616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[Signatures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[Signatures Continued from Previous Page.]</w:t>
      </w:r>
    </w:p>
    <w:p>
      <w:pPr>
        <w:spacing w:after="0" w:line="221" w:lineRule="exact"/>
        <w:rPr>
          <w:sz w:val="20"/>
          <w:szCs w:val="20"/>
          <w:color w:val="auto"/>
        </w:rPr>
      </w:pPr>
    </w:p>
    <w:p>
      <w:pPr>
        <w:ind w:left="4520"/>
        <w:spacing w:after="0" w:line="282" w:lineRule="auto"/>
        <w:rPr>
          <w:sz w:val="20"/>
          <w:szCs w:val="20"/>
          <w:color w:val="auto"/>
        </w:rPr>
      </w:pPr>
      <w:r>
        <w:rPr>
          <w:rFonts w:ascii="Arial" w:cs="Arial" w:eastAsia="Arial" w:hAnsi="Arial"/>
          <w:sz w:val="18"/>
          <w:szCs w:val="18"/>
          <w:b w:val="1"/>
          <w:bCs w:val="1"/>
          <w:color w:val="auto"/>
        </w:rPr>
        <w:t>AgFirst Farm Credit Bank, as a voting participant pursuant to Subsection 8.1(D) of the Credit Agreement</w:t>
      </w:r>
    </w:p>
    <w:p>
      <w:pPr>
        <w:spacing w:after="0" w:line="382" w:lineRule="exact"/>
        <w:rPr>
          <w:sz w:val="20"/>
          <w:szCs w:val="20"/>
          <w:color w:val="auto"/>
        </w:rPr>
      </w:pPr>
    </w:p>
    <w:p>
      <w:pPr>
        <w:ind w:left="452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Bruce B. Fortner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Bruce B. Fortner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-130810</wp:posOffset>
            </wp:positionV>
            <wp:extent cx="33616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[Signatures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584" w:right="239" w:bottom="59" w:gutter="0" w:footer="0" w:header="0"/>
        </w:sectPr>
      </w:pPr>
    </w:p>
    <w:bookmarkStart w:id="7" w:name="page8"/>
    <w:bookmarkEnd w:id="7"/>
    <w:p>
      <w:pPr>
        <w:ind w:left="2920"/>
        <w:spacing w:after="0"/>
        <w:rPr>
          <w:sz w:val="20"/>
          <w:szCs w:val="20"/>
          <w:color w:val="auto"/>
        </w:rPr>
      </w:pPr>
      <w:r>
        <w:rPr>
          <w:rFonts w:ascii="Arial" w:cs="Arial" w:eastAsia="Arial" w:hAnsi="Arial"/>
          <w:sz w:val="18"/>
          <w:szCs w:val="18"/>
          <w:color w:val="auto"/>
        </w:rPr>
        <w:t>[Signatures Continued from Previous Page.]</w:t>
      </w:r>
    </w:p>
    <w:p>
      <w:pPr>
        <w:spacing w:after="0" w:line="221" w:lineRule="exact"/>
        <w:rPr>
          <w:sz w:val="20"/>
          <w:szCs w:val="20"/>
          <w:color w:val="auto"/>
        </w:rPr>
      </w:pPr>
    </w:p>
    <w:p>
      <w:pPr>
        <w:ind w:left="4520" w:right="240"/>
        <w:spacing w:after="0" w:line="282" w:lineRule="auto"/>
        <w:rPr>
          <w:sz w:val="20"/>
          <w:szCs w:val="20"/>
          <w:color w:val="auto"/>
        </w:rPr>
      </w:pPr>
      <w:r>
        <w:rPr>
          <w:rFonts w:ascii="Arial" w:cs="Arial" w:eastAsia="Arial" w:hAnsi="Arial"/>
          <w:sz w:val="18"/>
          <w:szCs w:val="18"/>
          <w:b w:val="1"/>
          <w:bCs w:val="1"/>
          <w:color w:val="auto"/>
        </w:rPr>
        <w:t>AgStar Financial Services, FLCA, as a voting participant pursuant to Subsection 8.1(D) of the Credit Agreement</w:t>
      </w:r>
    </w:p>
    <w:p>
      <w:pPr>
        <w:spacing w:after="0" w:line="382"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Troy Mostaert</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Troy Mostaert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3153410</wp:posOffset>
            </wp:positionH>
            <wp:positionV relativeFrom="paragraph">
              <wp:posOffset>-130810</wp:posOffset>
            </wp:positionV>
            <wp:extent cx="33362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[Signatures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[Signatures Continued from Previous Page.]</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Farm Credit Bank of Texas, as a voting participant pursuant to</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Subsection 8.1(D) of the Credit Agreement</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Nicholas King</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Nicholas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-130810</wp:posOffset>
            </wp:positionV>
            <wp:extent cx="33445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[Signatures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[Signatures Continued from Previous Page.]</w:t>
      </w:r>
    </w:p>
    <w:p>
      <w:pPr>
        <w:spacing w:after="0" w:line="221" w:lineRule="exact"/>
        <w:rPr>
          <w:sz w:val="20"/>
          <w:szCs w:val="20"/>
          <w:color w:val="auto"/>
        </w:rPr>
      </w:pPr>
    </w:p>
    <w:p>
      <w:pPr>
        <w:ind w:left="4520"/>
        <w:spacing w:after="0" w:line="266" w:lineRule="auto"/>
        <w:rPr>
          <w:sz w:val="20"/>
          <w:szCs w:val="20"/>
          <w:color w:val="auto"/>
        </w:rPr>
      </w:pPr>
      <w:r>
        <w:rPr>
          <w:rFonts w:ascii="Arial" w:cs="Arial" w:eastAsia="Arial" w:hAnsi="Arial"/>
          <w:sz w:val="18"/>
          <w:szCs w:val="18"/>
          <w:b w:val="1"/>
          <w:bCs w:val="1"/>
          <w:color w:val="auto"/>
        </w:rPr>
        <w:t>UNITED FCS, FLCA (d/b/a FCS COMMERCIAL FINANCE GROUP), as a voting participant pursuant to Subsection 8.1(D) of the Credit Agreement</w:t>
      </w:r>
    </w:p>
    <w:p>
      <w:pPr>
        <w:spacing w:after="0" w:line="396"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/s/ Jeremy Voigts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Jeremy Voigts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-130810</wp:posOffset>
            </wp:positionV>
            <wp:extent cx="33274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Vice President</w:t>
      </w:r>
    </w:p>
    <w:p>
      <w:pPr>
        <w:spacing w:after="0" w:line="21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[Signatures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[Signatures Continued from Previous Page.]</w:t>
      </w:r>
    </w:p>
    <w:p>
      <w:pPr>
        <w:spacing w:after="0" w:line="221" w:lineRule="exact"/>
        <w:rPr>
          <w:sz w:val="20"/>
          <w:szCs w:val="20"/>
          <w:color w:val="auto"/>
        </w:rPr>
      </w:pPr>
    </w:p>
    <w:p>
      <w:pPr>
        <w:ind w:left="4520" w:right="300"/>
        <w:spacing w:after="0" w:line="347" w:lineRule="auto"/>
        <w:rPr>
          <w:sz w:val="20"/>
          <w:szCs w:val="20"/>
          <w:color w:val="auto"/>
        </w:rPr>
      </w:pPr>
      <w:r>
        <w:rPr>
          <w:rFonts w:ascii="Arial" w:cs="Arial" w:eastAsia="Arial" w:hAnsi="Arial"/>
          <w:sz w:val="16"/>
          <w:szCs w:val="16"/>
          <w:b w:val="1"/>
          <w:bCs w:val="1"/>
          <w:color w:val="auto"/>
        </w:rPr>
        <w:t>GreenStone Farm Credit Services ACA/FLA, as a voting participant pursuant to Subsection 8.1(D) of the Credit Agreement</w:t>
      </w:r>
    </w:p>
    <w:p>
      <w:pPr>
        <w:spacing w:after="0" w:line="336"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Pavlik</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Jeff Pavlik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-130810</wp:posOffset>
            </wp:positionV>
            <wp:extent cx="33445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[Signatures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[Signatures Continued from Previous Page.]</w:t>
      </w:r>
    </w:p>
    <w:p>
      <w:pPr>
        <w:spacing w:after="0" w:line="221" w:lineRule="exact"/>
        <w:rPr>
          <w:sz w:val="20"/>
          <w:szCs w:val="20"/>
          <w:color w:val="auto"/>
        </w:rPr>
      </w:pPr>
    </w:p>
    <w:p>
      <w:pPr>
        <w:ind w:left="4520" w:right="480"/>
        <w:spacing w:after="0" w:line="282" w:lineRule="auto"/>
        <w:rPr>
          <w:sz w:val="20"/>
          <w:szCs w:val="20"/>
          <w:color w:val="auto"/>
        </w:rPr>
      </w:pPr>
      <w:r>
        <w:rPr>
          <w:rFonts w:ascii="Arial" w:cs="Arial" w:eastAsia="Arial" w:hAnsi="Arial"/>
          <w:sz w:val="18"/>
          <w:szCs w:val="18"/>
          <w:b w:val="1"/>
          <w:bCs w:val="1"/>
          <w:color w:val="auto"/>
        </w:rPr>
        <w:t>U.S. AgBank, FCB, as a voting participant pursuant to Subsection 8.1(D) of the Credit Agreement</w:t>
      </w:r>
    </w:p>
    <w:p>
      <w:pPr>
        <w:spacing w:after="0" w:line="382"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Burdick</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Paul Burdick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-130810</wp:posOffset>
            </wp:positionV>
            <wp:extent cx="33445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 Assistant Vice President</w:t>
      </w:r>
    </w:p>
    <w:p>
      <w:pPr>
        <w:spacing w:after="0" w:line="21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[Signatures Continued on Following Page.]</w:t>
      </w:r>
    </w:p>
    <w:p>
      <w:pPr>
        <w:sectPr>
          <w:pgSz w:w="11900" w:h="16838" w:orient="portrait"/>
          <w:cols w:equalWidth="0" w:num="1">
            <w:col w:w="10080"/>
          </w:cols>
          <w:pgMar w:left="1440" w:top="584" w:right="379" w:bottom="0"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o"/>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1)"/>
      <w:numFmt w:val="upperLetter"/>
      <w:start w:val="1"/>
    </w:lvl>
  </w:abstractNum>
  <w:abstractNum w:abstractNumId="3">
    <w:nsid w:val="7545E146"/>
    <w:multiLevelType w:val="hybridMultilevel"/>
    <w:lvl w:ilvl="0">
      <w:lvlJc w:val="left"/>
      <w:lvlText w:val="(%1)"/>
      <w:numFmt w:val="upperLetter"/>
      <w:start w:val="2"/>
    </w:lvl>
  </w:abstractNum>
  <w:abstractNum w:abstractNumId="4">
    <w:nsid w:val="515F007C"/>
    <w:multiLevelType w:val="hybridMultilevel"/>
    <w:lvl w:ilvl="0">
      <w:lvlJc w:val="left"/>
      <w:lvlText w:val="(%1)"/>
      <w:numFmt w:val="upperLetter"/>
      <w:start w:val="1"/>
    </w:lvl>
    <w:lvl w:ilvl="1">
      <w:lvlJc w:val="left"/>
      <w:lvlText w:val="(%2)"/>
      <w:numFmt w:val="upperLetter"/>
      <w:start w:val="35"/>
    </w:lvl>
  </w:abstractNum>
  <w:abstractNum w:abstractNumId="5">
    <w:nsid w:val="5BD062C2"/>
    <w:multiLevelType w:val="hybridMultilevel"/>
    <w:lvl w:ilvl="0">
      <w:lvlJc w:val="left"/>
      <w:lvlText w:val="%1"/>
      <w:numFmt w:val="upperLetter"/>
      <w:start w:val="1"/>
    </w:lvl>
    <w:lvl w:ilvl="1">
      <w:lvlJc w:val="left"/>
      <w:lvlText w:val="(%2)"/>
      <w:numFmt w:val="upperLetter"/>
      <w:start w:val="5"/>
    </w:lvl>
  </w:abstractNum>
  <w:abstractNum w:abstractNumId="6">
    <w:nsid w:val="12200854"/>
    <w:multiLevelType w:val="hybridMultilevel"/>
    <w:lvl w:ilvl="0">
      <w:lvlJc w:val="left"/>
      <w:lvlText w:val="(%1)"/>
      <w:numFmt w:val="upperLetter"/>
      <w:start w:val="5"/>
    </w:lvl>
    <w:lvl w:ilvl="1">
      <w:lvlJc w:val="left"/>
      <w:lvlText w:val="(%2)"/>
      <w:numFmt w:val="upperLetter"/>
      <w:start w:val="7"/>
    </w:lvl>
  </w:abstractNum>
  <w:abstractNum w:abstractNumId="7">
    <w:nsid w:val="4DB127F8"/>
    <w:multiLevelType w:val="hybridMultilevel"/>
    <w:lvl w:ilvl="0">
      <w:lvlJc w:val="left"/>
      <w:lvlText w:val="(%1)"/>
      <w:numFmt w:val="upperLetter"/>
      <w:start w:val="1"/>
    </w:lvl>
    <w:lvl w:ilvl="1">
      <w:lvlJc w:val="left"/>
      <w:lvlText w:val="(%2)"/>
      <w:numFmt w:val="decimal"/>
      <w:start w:val="1"/>
    </w:lvl>
  </w:abstractNum>
  <w:abstractNum w:abstractNumId="8">
    <w:nsid w:val="216231B"/>
    <w:multiLevelType w:val="hybridMultilevel"/>
    <w:lvl w:ilvl="0">
      <w:lvlJc w:val="left"/>
      <w:lvlText w:val="%1"/>
      <w:numFmt w:val="upperLetter"/>
      <w:start w:val="1"/>
    </w:lvl>
    <w:lvl w:ilvl="1">
      <w:lvlJc w:val="left"/>
      <w:lvlText w:val="(%2)"/>
      <w:numFmt w:val="decimal"/>
      <w:start w:val="3"/>
    </w:lvl>
  </w:abstractNum>
  <w:abstractNum w:abstractNumId="9">
    <w:nsid w:val="1F16E9E8"/>
    <w:multiLevelType w:val="hybridMultilevel"/>
    <w:lvl w:ilvl="0">
      <w:lvlJc w:val="left"/>
      <w:lvlText w:val="(%1)"/>
      <w:numFmt w:val="upperLetter"/>
      <w:start w:val="3"/>
    </w:lvl>
    <w:lvl w:ilvl="1">
      <w:lvlJc w:val="left"/>
      <w:lvlText w:val="%2"/>
      <w:numFmt w:val="decimal"/>
      <w:start w:val="1"/>
    </w:lvl>
  </w:abstractNum>
  <w:abstractNum w:abstractNumId="10">
    <w:nsid w:val="1190CDE7"/>
    <w:multiLevelType w:val="hybridMultilevel"/>
    <w:lvl w:ilvl="0">
      <w:lvlJc w:val="left"/>
      <w:lvlText w:val="(%1)"/>
      <w:numFmt w:val="upperLetter"/>
      <w:start w:val="1"/>
    </w:lvl>
  </w:abstractNum>
  <w:abstractNum w:abstractNumId="11">
    <w:nsid w:val="66EF438D"/>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2019-12-10T11:08:25Z</dcterms:created>
  <dcterms:modified xsi:type="dcterms:W3CDTF">2019-12-10T11:08:25Z</dcterms:modified>
</cp:coreProperties>
</file>