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ATN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63"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(State or other</w:t>
      </w:r>
    </w:p>
    <w:p>
      <w:pPr>
        <w:spacing w:after="0" w:line="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001-12593</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47-0728886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Cummings Center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Beverly, MA 01915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(978) 619-1300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p>
      <w:pPr>
        <w:spacing w:after="0" w:line="200" w:lineRule="exact"/>
        <w:rPr>
          <w:sz w:val="24"/>
          <w:szCs w:val="24"/>
          <w:color w:val="auto"/>
        </w:rPr>
      </w:pPr>
    </w:p>
    <w:p>
      <w:pPr>
        <w:spacing w:after="0" w:line="3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ATNI</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June 16, 2026, ATN International, Inc. (the “Company”) held its Annual Meeting of Stockholders (the “Annual Meeting”). A summary of the matters voted upon by the stockholders at the Annual Meeting, each of which are described in detail in the Company’s definitive proxy statement filed with the Securities and Exchange Commission on April 28, 2026, and the final voting results for each matter are set forth below.</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color w:val="auto"/>
        </w:rPr>
        <w:t>. Stockholders elected each of the seven director nominees identified below to serve on the Board of Directors until the Company’s next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and until their respective successors are elected and qualified, subject to their earlier retirement, resignation or removal. The voting results for each director nominee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29"/>
        </w:trPr>
        <w:tc>
          <w:tcPr>
            <w:tcW w:w="55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Voted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Voted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38"/>
        </w:trPr>
        <w:tc>
          <w:tcPr>
            <w:tcW w:w="55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V. Henry</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10,949,860</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1,089,540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Bernard J. Bulkin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11,881,861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25,436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1,637,151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G. Hudson</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10,937,497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1,078,812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1,637,151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11,651,897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387,265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1,637,151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Naji N. Khoury</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11,930,919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108,480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1,637,151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Pamela F. Lenehan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10,447,149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1,591,749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1,637,151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Patricia A. Jacobs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10,857,157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1,181,892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1,637,151</w:t>
            </w:r>
          </w:p>
        </w:tc>
      </w:tr>
    </w:tbl>
    <w:p>
      <w:pPr>
        <w:spacing w:after="0" w:line="19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 Stockholders approved, on a non-binding, advisory basis, the compensation of the Company’s named executive officers. The voting results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proposal were as follows:</w:t>
      </w:r>
    </w:p>
    <w:p>
      <w:pPr>
        <w:spacing w:after="0" w:line="155"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29"/>
        </w:trPr>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Shares Voted</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Shares Voted</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0"/>
        </w:trPr>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11,499,717</w:t>
            </w:r>
          </w:p>
        </w:tc>
        <w:tc>
          <w:tcPr>
            <w:tcW w:w="1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538,209</w:t>
            </w: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1,637,151</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3</w:t>
      </w:r>
      <w:r>
        <w:rPr>
          <w:rFonts w:ascii="Times New Roman" w:cs="Times New Roman" w:eastAsia="Times New Roman" w:hAnsi="Times New Roman"/>
          <w:sz w:val="18"/>
          <w:szCs w:val="18"/>
          <w:color w:val="auto"/>
        </w:rPr>
        <w:t>. Stockholders ratified the selection of PricewaterhouseCoopers LLP as the Company’s independent registered public accounting firm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December 31, 2026. The voting results for the proposal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40" w:type="dxa"/>
            <w:vAlign w:val="bottom"/>
          </w:tcPr>
          <w:p>
            <w:pPr>
              <w:spacing w:after="0"/>
              <w:rPr>
                <w:sz w:val="18"/>
                <w:szCs w:val="18"/>
                <w:color w:val="auto"/>
              </w:rPr>
            </w:pPr>
          </w:p>
        </w:tc>
      </w:tr>
      <w:tr>
        <w:trPr>
          <w:trHeight w:val="230"/>
        </w:trPr>
        <w:tc>
          <w:tcPr>
            <w:tcW w:w="2260" w:type="dxa"/>
            <w:vAlign w:val="bottom"/>
          </w:tcPr>
          <w:p>
            <w:pPr>
              <w:spacing w:after="0"/>
              <w:rPr>
                <w:sz w:val="19"/>
                <w:szCs w:val="19"/>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Shares Voted</w:t>
            </w:r>
          </w:p>
        </w:tc>
        <w:tc>
          <w:tcPr>
            <w:tcW w:w="20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Shares Voted</w:t>
            </w: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2240" w:type="dxa"/>
            <w:vAlign w:val="bottom"/>
          </w:tcPr>
          <w:p>
            <w:pPr>
              <w:spacing w:after="0"/>
              <w:rPr>
                <w:sz w:val="19"/>
                <w:szCs w:val="19"/>
                <w:color w:val="auto"/>
              </w:rPr>
            </w:pPr>
          </w:p>
        </w:tc>
      </w:tr>
      <w:tr>
        <w:trPr>
          <w:trHeight w:val="238"/>
        </w:trPr>
        <w:tc>
          <w:tcPr>
            <w:tcW w:w="2260" w:type="dxa"/>
            <w:vAlign w:val="bottom"/>
          </w:tcPr>
          <w:p>
            <w:pPr>
              <w:spacing w:after="0"/>
              <w:rPr>
                <w:sz w:val="20"/>
                <w:szCs w:val="20"/>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c>
          <w:tcPr>
            <w:tcW w:w="2240" w:type="dxa"/>
            <w:vAlign w:val="bottom"/>
          </w:tcPr>
          <w:p>
            <w:pPr>
              <w:spacing w:after="0"/>
              <w:rPr>
                <w:sz w:val="20"/>
                <w:szCs w:val="20"/>
                <w:color w:val="auto"/>
              </w:rPr>
            </w:pPr>
          </w:p>
        </w:tc>
      </w:tr>
      <w:tr>
        <w:trPr>
          <w:trHeight w:val="210"/>
        </w:trPr>
        <w:tc>
          <w:tcPr>
            <w:tcW w:w="226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13,146,006</w:t>
            </w:r>
          </w:p>
        </w:tc>
        <w:tc>
          <w:tcPr>
            <w:tcW w:w="1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531,065</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right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2240" w:type="dxa"/>
            <w:vAlign w:val="bottom"/>
          </w:tcPr>
          <w:p>
            <w:pPr>
              <w:spacing w:after="0"/>
              <w:rPr>
                <w:sz w:val="18"/>
                <w:szCs w:val="18"/>
                <w:color w:val="auto"/>
              </w:rPr>
            </w:pPr>
          </w:p>
        </w:tc>
      </w:tr>
      <w:tr>
        <w:trPr>
          <w:trHeight w:val="648"/>
        </w:trPr>
        <w:tc>
          <w:tcPr>
            <w:tcW w:w="2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77"/>
              </w:rPr>
              <w:t>*          *          *</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675"/>
        </w:trPr>
        <w:tc>
          <w:tcPr>
            <w:tcW w:w="2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Carlos Doglioli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Carlos Doglioli</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2026-06-17T13:20:43Z</dcterms:created>
  <dcterms:modified xsi:type="dcterms:W3CDTF">2026-06-17T13:20:43Z</dcterms:modified>
</cp:coreProperties>
</file>